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689216.xml.htm"/>
      <w:bookmarkStart w:id="1" w:name="kswkform4_178768921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Shachar Erez</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RISKIFIED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 5TH AVENUE, 2ND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RISKIFIED LTD.</w:t>
              </w:r>
            </w:hyperlink>
            <w:r>
              <w:rPr/>
              <w:t xml:space="preserve"> [ </w:t>
            </w:r>
            <w:r>
              <w:rPr>
                <w:rFonts w:ascii="Times;serif" w:hAnsi="Times;serif"/>
                <w:color w:val="0000FF"/>
                <w:sz w:val="24"/>
                <w:shd w:fill="FFFFFF" w:val="clear"/>
              </w:rPr>
              <w:t>RSKD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05"/>
        <w:gridCol w:w="920"/>
        <w:gridCol w:w="792"/>
        <w:gridCol w:w="610"/>
        <w:gridCol w:w="328"/>
        <w:gridCol w:w="1148"/>
        <w:gridCol w:w="386"/>
        <w:gridCol w:w="893"/>
        <w:gridCol w:w="1206"/>
        <w:gridCol w:w="924"/>
        <w:gridCol w:w="139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6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2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6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8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9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1,500,000</w:t>
            </w:r>
          </w:p>
        </w:tc>
        <w:tc>
          <w:tcPr>
            <w:tcW w:w="3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2,209,684</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(3)</w:t>
            </w:r>
          </w:p>
        </w:tc>
        <w:tc>
          <w:tcPr>
            <w:tcW w:w="13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Qumra Capital I L.P. and Qumra Capital I Continuation Fund L.P.</w:t>
            </w:r>
          </w:p>
        </w:tc>
      </w:tr>
      <w:tr>
        <w:trPr/>
        <w:tc>
          <w:tcPr>
            <w:tcW w:w="16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08/21/2026</w:t>
            </w:r>
            <w:r>
              <w:rPr>
                <w:rFonts w:ascii="Times;serif" w:hAnsi="Times;serif"/>
                <w:color w:val="008000"/>
                <w:position w:val="7"/>
                <w:sz w:val="16"/>
                <w:sz w:val="20"/>
                <w:shd w:fill="FFFFFF" w:val="clear"/>
              </w:rPr>
              <w:t>(4)</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115,500</w:t>
            </w:r>
          </w:p>
        </w:tc>
        <w:tc>
          <w:tcPr>
            <w:tcW w:w="3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5.8935</w:t>
            </w:r>
            <w:r>
              <w:rPr>
                <w:rFonts w:ascii="Times;serif" w:hAnsi="Times;serif"/>
                <w:color w:val="008000"/>
                <w:position w:val="7"/>
                <w:sz w:val="16"/>
                <w:sz w:val="20"/>
                <w:shd w:fill="FFFFFF" w:val="clear"/>
              </w:rPr>
              <w:t>(5)</w:t>
            </w:r>
          </w:p>
        </w:tc>
        <w:tc>
          <w:tcPr>
            <w:tcW w:w="12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2,094,184</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(3)</w:t>
            </w:r>
          </w:p>
        </w:tc>
        <w:tc>
          <w:tcPr>
            <w:tcW w:w="13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Qumra Capital I L.P. and Qumra Capital I Continuation Fund L.P.</w:t>
            </w:r>
          </w:p>
        </w:tc>
      </w:tr>
      <w:tr>
        <w:trPr/>
        <w:tc>
          <w:tcPr>
            <w:tcW w:w="16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08/24/2026</w:t>
            </w:r>
            <w:r>
              <w:rPr>
                <w:rFonts w:ascii="Times;serif" w:hAnsi="Times;serif"/>
                <w:color w:val="008000"/>
                <w:position w:val="7"/>
                <w:sz w:val="16"/>
                <w:sz w:val="20"/>
                <w:shd w:fill="FFFFFF" w:val="clear"/>
              </w:rPr>
              <w:t>(4)</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102,407</w:t>
            </w:r>
          </w:p>
        </w:tc>
        <w:tc>
          <w:tcPr>
            <w:tcW w:w="3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5.9213</w:t>
            </w:r>
            <w:r>
              <w:rPr>
                <w:rFonts w:ascii="Times;serif" w:hAnsi="Times;serif"/>
                <w:color w:val="008000"/>
                <w:position w:val="7"/>
                <w:sz w:val="16"/>
                <w:sz w:val="20"/>
                <w:shd w:fill="FFFFFF" w:val="clear"/>
              </w:rPr>
              <w:t>(6)</w:t>
            </w:r>
          </w:p>
        </w:tc>
        <w:tc>
          <w:tcPr>
            <w:tcW w:w="12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1,991,777</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(3)</w:t>
            </w:r>
          </w:p>
        </w:tc>
        <w:tc>
          <w:tcPr>
            <w:tcW w:w="13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Qumra Capital I L.P. and Qumra Capital I Continuation Fund L.P.</w:t>
            </w:r>
          </w:p>
        </w:tc>
      </w:tr>
      <w:tr>
        <w:trPr/>
        <w:tc>
          <w:tcPr>
            <w:tcW w:w="16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80,053</w:t>
            </w:r>
            <w:r>
              <w:rPr>
                <w:rFonts w:ascii="Times;serif" w:hAnsi="Times;serif"/>
                <w:color w:val="008000"/>
                <w:position w:val="7"/>
                <w:sz w:val="16"/>
                <w:sz w:val="20"/>
                <w:shd w:fill="FFFFFF" w:val="clear"/>
              </w:rPr>
              <w:t>(7)</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3049"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276"/>
        <w:gridCol w:w="966"/>
        <w:gridCol w:w="906"/>
        <w:gridCol w:w="801"/>
        <w:gridCol w:w="861"/>
        <w:gridCol w:w="1101"/>
        <w:gridCol w:w="801"/>
        <w:gridCol w:w="966"/>
        <w:gridCol w:w="831"/>
        <w:gridCol w:w="1251"/>
      </w:tblGrid>
      <w:tr>
        <w:trPr>
          <w:tblHeader w:val="true"/>
        </w:trPr>
        <w:tc>
          <w:tcPr>
            <w:tcW w:w="130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2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5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Ordinary Shares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2,359,974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I</w:t>
            </w:r>
            <w:r>
              <w:rPr>
                <w:rFonts w:ascii="Times;serif" w:hAnsi="Times;serif"/>
                <w:color w:val="008000"/>
                <w:position w:val="7"/>
                <w:sz w:val="16"/>
                <w:sz w:val="20"/>
                <w:shd w:fill="FFFFFF" w:val="clear"/>
              </w:rPr>
              <w:t>(8)</w:t>
            </w:r>
          </w:p>
        </w:tc>
        <w:tc>
          <w:tcPr>
            <w:tcW w:w="12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Held by Qumra Capital I L.P. and Qumra Capital I Continuation Fund L.P.</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conversion of Class B Ordinary Shares into Class A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Class B Ordinary Share is convertible at any time at the option of the holder into one Class A Ordinary Share and has no expiration date. In addition, each Class B Ordinary Share will convert automatically into one Class A Ordinary Share upon the sale or transfer of such Class B Ordinary Share, subject to certain exceptions, and in certain other circumstances described in the Issuer's Amended and Restated Articles of Association.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Class A Ordinary Shares held by Qumra Capital I L.P. and Qumra Capital I Continuation Fund L.P (together, "Qumra Capital"). The Reporting Person is a Managing Partner of Qumra Capital. The Reporting Person disclaims beneficial ownership of the Class A Ordinary Shares held by Qumra Capital, except to the extent of his pecuniary interest, if any,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sales reported in this Form 4 were effected pursuant to a Rule 10b5-1 trading plan adopted by Qumra Capital on March 16,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is a weighted average price. These Class A Ordinary Shares were sold in multiple transactions at prices ranging from $5.84 to $5.96. The Reporting Person undertakes to provide to the issuer, any security holder of the issuer, or the SEC staff, upon request, full information regarding the number of Class A Ordinary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is a weighted average price. These Class A Ordinary Shares were sold in multiple transactions at prices ranging from $5.88 to $5.98. The Reporting Person undertakes to provide to the issuer, any security holder of the issuer, or the SEC staff, upon request, full information regarding the number of Class A Ordinary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Includes Class A Ordinary Shares and outstanding restricted stock units (RSUs) held by the Reporting Person. Each RSU represents the right to receive one Class A Ordinary shares upon vesting and settlement. The Reporting Person is a Managing Partner of Qumra Capital. The Class A Shares and RSUs held by the Reporting Person are held by him solely for the benefit of Qumra Capital. As such, the Reporting Person disclaims beneficial ownership of the RSUs (including the Class A Ordinary Shares underlying the RSUs) and the Class A Ordinary Shares, except to the extent of his pecuniary interest, if any,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Represents Class B Ordinary Shares held by Qumra Capital. The Reporting Person disclaims beneficial ownership of the Class B Ordinary Shares held by Qumra Capital, except to the extent of his pecuniary interest, if any,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Treichel, as attorney-in-fact for Erez Shachar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01099" TargetMode="External"/><Relationship Id="rId5" Type="http://schemas.openxmlformats.org/officeDocument/2006/relationships/hyperlink" Target="http://www.sec.gov/cgi-bin/browse-edgar?action=getcompany&amp;CIK=00018511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1121</Words>
  <Characters>5878</Characters>
  <CharactersWithSpaces>6887</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