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5658.xml.htm"/>
      <w:bookmarkStart w:id="1" w:name="kswkform4_17896756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1"/>
        <w:gridCol w:w="928"/>
        <w:gridCol w:w="799"/>
        <w:gridCol w:w="616"/>
        <w:gridCol w:w="336"/>
        <w:gridCol w:w="897"/>
        <w:gridCol w:w="402"/>
        <w:gridCol w:w="902"/>
        <w:gridCol w:w="1233"/>
        <w:gridCol w:w="947"/>
        <w:gridCol w:w="13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6.2568</w:t>
            </w:r>
            <w:r>
              <w:rPr>
                <w:rFonts w:ascii="Times;serif" w:hAnsi="Times;serif"/>
                <w:color w:val="008000"/>
                <w:position w:val="7"/>
                <w:sz w:val="16"/>
                <w:sz w:val="20"/>
                <w:shd w:fill="FFFFFF" w:val="clear"/>
              </w:rPr>
              <w:t>(1)</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3,261,623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(3)</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Class A Ordinary Shares were sold in multiple transactions at prices ranging from $6.22 to $6.30.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Class A Ordinary Shares held by Qumra Capital I L.P. and Qumra Capital I Continuation Fund L.P (together,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821</Words>
  <Characters>4375</Characters>
  <CharactersWithSpaces>5121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