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2022</w:t>
      </w:r>
    </w:p>
    <w:p>
      <w:pPr>
        <w:spacing w:after="0" w:line="1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001-40692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9"/>
          <w:szCs w:val="29"/>
          <w:b w:val="1"/>
          <w:bCs w:val="1"/>
          <w:color w:val="auto"/>
        </w:rPr>
        <w:t>Riskified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color w:val="auto"/>
        </w:rPr>
        <w:t>(Translation of the registrant's name into English)</w:t>
      </w:r>
    </w:p>
    <w:p>
      <w:pPr>
        <w:spacing w:after="0" w:line="18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Riskified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Europe House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Sderot Sha’ul HaMelech 37</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Aviv-Yafo, Israel</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69" w:lineRule="exact"/>
        <w:rPr>
          <w:sz w:val="24"/>
          <w:szCs w:val="24"/>
          <w:color w:val="auto"/>
        </w:rPr>
      </w:pPr>
    </w:p>
    <w:p>
      <w:pPr>
        <w:ind w:left="4420"/>
        <w:spacing w:after="0" w:line="207" w:lineRule="exact"/>
        <w:tabs>
          <w:tab w:leader="none" w:pos="582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15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407"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9, 2022, Riskified Ltd. issued a press release titled "Riskified Reports Strong 20% Year-over-Year Growth, Fueled by Key New Merchant Wins and Ongoing Momentum in Tickets and Travel." The Company will hold a conference call regarding such results today, November 9, 2022, at 8:30am Eastern Time. A copy of the press release is furnished as Exhibit 99.1 hereto.</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than as indicated below, the information in this Form 6-K (including in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w:t>
      </w:r>
    </w:p>
    <w:p>
      <w:pPr>
        <w:spacing w:after="0" w:line="204" w:lineRule="exact"/>
        <w:rPr>
          <w:sz w:val="20"/>
          <w:szCs w:val="20"/>
          <w:color w:val="auto"/>
        </w:rPr>
      </w:pPr>
    </w:p>
    <w:p>
      <w:pPr>
        <w:ind w:right="400"/>
        <w:spacing w:after="0" w:line="245" w:lineRule="auto"/>
        <w:rPr>
          <w:sz w:val="20"/>
          <w:szCs w:val="20"/>
          <w:color w:val="auto"/>
        </w:rPr>
      </w:pPr>
      <w:r>
        <w:rPr>
          <w:rFonts w:ascii="Times New Roman" w:cs="Times New Roman" w:eastAsia="Times New Roman" w:hAnsi="Times New Roman"/>
          <w:sz w:val="18"/>
          <w:szCs w:val="18"/>
          <w:color w:val="auto"/>
        </w:rPr>
        <w:t>The U.S. GAAP financial information contained in the (i) consolidated balance sheets, (ii) consolidated statements of operations and (iii) consolidated statements of cash flows included in the press release attached as Exhibit 99.1 to this Report on Form 6-K and the information set forth under “Legal Proceedings” below are hereby incorporated by reference into the Company’s Registration Statements on Form S-8 (File Nos. 333-258461 and 333-265150).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Proceedings</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May 2022, a putative securities class action complaint was filed in federal court in the United States by Company shareholders against the Company, certain of the Company’s current and former officers and directors, and its underwriters alleging violations of the Securities Act in connection with the Company’s IPO-related disclosures, and seeking unspecified damages. The lawsuit is captioned In re Riskified Ltd. Securities Litigation, 22 Civ. 3545 (DLC) (S.D.N.Y.). The Company moved to dismiss the complaint on October 28, 2022, and briefing on the motion remains ongoing. The Company believes the lawsuit is without merit and intends to defend the case vigorously. As of the date of issuance of these financial statements, the Company is unable to estimate a range of loss, if any, that could result were there to be an adverse final decision in this case and an estimated liability has not been recorded in the Company's financial statements.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80"/>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exhibit is furnished as part of this Form 6-K:</w:t>
            </w:r>
          </w:p>
        </w:tc>
        <w:tc>
          <w:tcPr>
            <w:tcW w:w="1400" w:type="dxa"/>
            <w:vAlign w:val="bottom"/>
            <w:tcBorders>
              <w:top w:val="single" w:sz="8" w:color="auto"/>
            </w:tcBorders>
            <w:gridSpan w:val="2"/>
          </w:tcPr>
          <w:p>
            <w:pPr>
              <w:spacing w:after="0"/>
              <w:rPr>
                <w:sz w:val="24"/>
                <w:szCs w:val="24"/>
                <w:color w:val="auto"/>
              </w:rPr>
            </w:pPr>
          </w:p>
        </w:tc>
        <w:tc>
          <w:tcPr>
            <w:tcW w:w="4920" w:type="dxa"/>
            <w:vAlign w:val="bottom"/>
          </w:tcPr>
          <w:p>
            <w:pPr>
              <w:spacing w:after="0"/>
              <w:rPr>
                <w:sz w:val="24"/>
                <w:szCs w:val="24"/>
                <w:color w:val="auto"/>
              </w:rPr>
            </w:pPr>
          </w:p>
        </w:tc>
      </w:tr>
      <w:tr>
        <w:trPr>
          <w:trHeight w:val="432"/>
        </w:trPr>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8"/>
                <w:szCs w:val="18"/>
                <w:color w:val="auto"/>
                <w:w w:val="99"/>
              </w:rPr>
              <w:t>Exhibit No.</w:t>
            </w:r>
          </w:p>
        </w:tc>
        <w:tc>
          <w:tcPr>
            <w:tcW w:w="20" w:type="dxa"/>
            <w:vAlign w:val="bottom"/>
          </w:tcPr>
          <w:p>
            <w:pPr>
              <w:spacing w:after="0"/>
              <w:rPr>
                <w:sz w:val="24"/>
                <w:szCs w:val="24"/>
                <w:color w:val="auto"/>
              </w:rPr>
            </w:pPr>
          </w:p>
        </w:tc>
        <w:tc>
          <w:tcPr>
            <w:tcW w:w="9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398"/>
        </w:trPr>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99.1</w:t>
            </w:r>
          </w:p>
        </w:tc>
        <w:tc>
          <w:tcPr>
            <w:tcW w:w="6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Press Release of Riskified Ltd., dated November 9, 2022</w:t>
            </w:r>
          </w:p>
        </w:tc>
      </w:tr>
      <w:tr>
        <w:trPr>
          <w:trHeight w:val="20"/>
        </w:trPr>
        <w:tc>
          <w:tcPr>
            <w:tcW w:w="1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500" w:type="dxa"/>
            <w:vAlign w:val="bottom"/>
          </w:tcPr>
          <w:p>
            <w:pPr>
              <w:spacing w:after="0"/>
              <w:rPr>
                <w:sz w:val="20"/>
                <w:szCs w:val="20"/>
                <w:color w:val="auto"/>
              </w:rPr>
            </w:pPr>
          </w:p>
        </w:tc>
        <w:tc>
          <w:tcPr>
            <w:tcW w:w="6060" w:type="dxa"/>
            <w:vAlign w:val="bottom"/>
            <w:gridSpan w:val="2"/>
          </w:tcPr>
          <w:p>
            <w:pPr>
              <w:ind w:left="1740"/>
              <w:spacing w:after="0"/>
              <w:rPr>
                <w:sz w:val="20"/>
                <w:szCs w:val="20"/>
                <w:color w:val="auto"/>
              </w:rPr>
            </w:pPr>
            <w:r>
              <w:rPr>
                <w:rFonts w:ascii="Times New Roman" w:cs="Times New Roman" w:eastAsia="Times New Roman" w:hAnsi="Times New Roman"/>
                <w:sz w:val="18"/>
                <w:szCs w:val="18"/>
                <w:b w:val="1"/>
                <w:bCs w:val="1"/>
                <w:color w:val="auto"/>
              </w:rPr>
              <w:t>Riskified Ltd.</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606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486"/>
        </w:trPr>
        <w:tc>
          <w:tcPr>
            <w:tcW w:w="3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November 9, 2022</w:t>
            </w: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Eido Gal</w:t>
            </w:r>
          </w:p>
        </w:tc>
        <w:tc>
          <w:tcPr>
            <w:tcW w:w="0" w:type="dxa"/>
            <w:vAlign w:val="bottom"/>
          </w:tcPr>
          <w:p>
            <w:pPr>
              <w:spacing w:after="0"/>
              <w:rPr>
                <w:sz w:val="1"/>
                <w:szCs w:val="1"/>
                <w:color w:val="auto"/>
              </w:rPr>
            </w:pPr>
          </w:p>
        </w:tc>
      </w:tr>
      <w:tr>
        <w:trPr>
          <w:trHeight w:val="218"/>
        </w:trPr>
        <w:tc>
          <w:tcPr>
            <w:tcW w:w="3500" w:type="dxa"/>
            <w:vAlign w:val="bottom"/>
            <w:vMerge w:val="continue"/>
          </w:tcPr>
          <w:p>
            <w:pPr>
              <w:spacing w:after="0"/>
              <w:rPr>
                <w:sz w:val="18"/>
                <w:szCs w:val="18"/>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Name: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Eido Gal</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Title:</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61"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23"/>
          <w:szCs w:val="23"/>
          <w:b w:val="1"/>
          <w:bCs w:val="1"/>
          <w:color w:val="auto"/>
        </w:rPr>
        <w:t>Riskified Reports Strong 20% Year-over-Year Growth, Fueled by Key New Merchant Wins and Ongoing Momentum in Tickets and Travel</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Further Raises Guidance and Financial Outlook for FY 2022</w:t>
      </w:r>
    </w:p>
    <w:p>
      <w:pPr>
        <w:spacing w:after="0" w:line="28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NEW YORK, November 9, 2022 </w:t>
      </w:r>
      <w:r>
        <w:rPr>
          <w:rFonts w:ascii="Times New Roman" w:cs="Times New Roman" w:eastAsia="Times New Roman" w:hAnsi="Times New Roman"/>
          <w:sz w:val="18"/>
          <w:szCs w:val="18"/>
          <w:color w:val="auto"/>
        </w:rPr>
        <w:t>- Riskified Ltd. (NYSE: RSKD) (the “Company”), a risk management platform enabling frictionless eCommerce,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financial results for the three and nine months ended September 30, 2022. The Company will host an investor call to discuss these results today at 8:30 a.m. Eastern Time.</w:t>
      </w:r>
    </w:p>
    <w:p>
      <w:pPr>
        <w:spacing w:after="0" w:line="2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“Building off of momentum from a strong first half of the year, we saw an acceleration in our top line growth to achieve a very strong third quarter. Our year-over-year growth more than doubled our second quarter 2022 year-over-year growth and our tickets and travel vertical remained an active and growing part of the business,” said Eido Gal, Co-Founder and Chief Executive Officer of Riskified.</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we head towards the end of the year, I am excited by our enhanced Go-to-Market positioning and the increased traction we are seeing with new and existing merchants. We recently went live with our largest new merchant of the year, and are building a solid pipeline of new merchants and future upsell opportunities within our existing merchant base.”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Q3 2022 Business Highlights</w:t>
      </w:r>
    </w:p>
    <w:p>
      <w:pPr>
        <w:spacing w:after="0" w:line="239" w:lineRule="exact"/>
        <w:rPr>
          <w:sz w:val="20"/>
          <w:szCs w:val="20"/>
          <w:color w:val="auto"/>
        </w:rPr>
      </w:pPr>
    </w:p>
    <w:p>
      <w:pPr>
        <w:jc w:val="both"/>
        <w:ind w:left="660" w:hanging="328"/>
        <w:spacing w:after="0" w:line="252" w:lineRule="auto"/>
        <w:tabs>
          <w:tab w:leader="none" w:pos="6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Strengthened Leadership Position in Tickets &amp; Travel Vertical: </w:t>
      </w:r>
      <w:r>
        <w:rPr>
          <w:rFonts w:ascii="Times New Roman" w:cs="Times New Roman" w:eastAsia="Times New Roman" w:hAnsi="Times New Roman"/>
          <w:sz w:val="18"/>
          <w:szCs w:val="18"/>
          <w:color w:val="auto"/>
        </w:rPr>
        <w:t>Riskified recently onboarded one of the world's largest secondary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ticket marketplaces for live sports, concerts, theater, and events. We are reviewing nearly all of this merchant's eCommerce volume, which we believe further strengthens our positioning as a leader in the tickets and travel vertical.</w:t>
      </w:r>
    </w:p>
    <w:p>
      <w:pPr>
        <w:spacing w:after="0" w:line="198" w:lineRule="exact"/>
        <w:rPr>
          <w:rFonts w:ascii="Times New Roman" w:cs="Times New Roman" w:eastAsia="Times New Roman" w:hAnsi="Times New Roman"/>
          <w:sz w:val="18"/>
          <w:szCs w:val="18"/>
          <w:b w:val="1"/>
          <w:bCs w:val="1"/>
          <w:color w:val="auto"/>
        </w:rPr>
      </w:pPr>
    </w:p>
    <w:p>
      <w:pPr>
        <w:jc w:val="both"/>
        <w:ind w:left="660" w:hanging="328"/>
        <w:spacing w:after="0" w:line="243" w:lineRule="auto"/>
        <w:tabs>
          <w:tab w:leader="none" w:pos="6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Upsell Strategy Results in Strong Quarter of Activity: </w:t>
      </w:r>
      <w:r>
        <w:rPr>
          <w:rFonts w:ascii="Times New Roman" w:cs="Times New Roman" w:eastAsia="Times New Roman" w:hAnsi="Times New Roman"/>
          <w:sz w:val="18"/>
          <w:szCs w:val="18"/>
          <w:color w:val="auto"/>
        </w:rPr>
        <w:t>During the third quarter of 2022, Riskified achieved strong year-over-year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in upsell activity. We saw robust activity across varying merchant sizes, with particular momentum from our merchants with more than $3 billion in online sales volumes per year. Our upsell activity was distributed across merchants in our more mature cohorts as well as newer logos. This positive momentum, with the addition of new logos, more than offset declines in the organic growth of some of our existing merchants, which we primarily attribute to the tougher macro-economic environment.</w:t>
      </w:r>
    </w:p>
    <w:p>
      <w:pPr>
        <w:spacing w:after="0" w:line="207" w:lineRule="exact"/>
        <w:rPr>
          <w:rFonts w:ascii="Times New Roman" w:cs="Times New Roman" w:eastAsia="Times New Roman" w:hAnsi="Times New Roman"/>
          <w:sz w:val="18"/>
          <w:szCs w:val="18"/>
          <w:b w:val="1"/>
          <w:bCs w:val="1"/>
          <w:color w:val="auto"/>
        </w:rPr>
      </w:pPr>
    </w:p>
    <w:p>
      <w:pPr>
        <w:jc w:val="both"/>
        <w:ind w:left="660" w:hanging="328"/>
        <w:spacing w:after="0" w:line="245" w:lineRule="auto"/>
        <w:tabs>
          <w:tab w:leader="none" w:pos="6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Meaningful Margin and Free Cash Flow Improvements Accelerate Path to Profitability: </w:t>
      </w:r>
      <w:r>
        <w:rPr>
          <w:rFonts w:ascii="Times New Roman" w:cs="Times New Roman" w:eastAsia="Times New Roman" w:hAnsi="Times New Roman"/>
          <w:sz w:val="18"/>
          <w:szCs w:val="18"/>
          <w:color w:val="auto"/>
        </w:rPr>
        <w:t>We saw a 33% year-over-year and sequential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improvement in our Adjusted EBITDA during the third quarter. This led to a meaningful decline of our free cash outflows during the quarter as we continue to build towards sustainable profitability.</w:t>
      </w:r>
    </w:p>
    <w:p>
      <w:pPr>
        <w:spacing w:after="0" w:line="203" w:lineRule="exact"/>
        <w:rPr>
          <w:rFonts w:ascii="Times New Roman" w:cs="Times New Roman" w:eastAsia="Times New Roman" w:hAnsi="Times New Roman"/>
          <w:sz w:val="18"/>
          <w:szCs w:val="18"/>
          <w:b w:val="1"/>
          <w:bCs w:val="1"/>
          <w:color w:val="auto"/>
        </w:rPr>
      </w:pPr>
    </w:p>
    <w:p>
      <w:pPr>
        <w:jc w:val="both"/>
        <w:ind w:left="660" w:hanging="328"/>
        <w:spacing w:after="0" w:line="252" w:lineRule="auto"/>
        <w:tabs>
          <w:tab w:leader="none" w:pos="6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Further Increases to 2022 Revenue and Adjusted EBITDA Guidance: </w:t>
      </w:r>
      <w:r>
        <w:rPr>
          <w:rFonts w:ascii="Times New Roman" w:cs="Times New Roman" w:eastAsia="Times New Roman" w:hAnsi="Times New Roman"/>
          <w:sz w:val="18"/>
          <w:szCs w:val="18"/>
          <w:color w:val="auto"/>
        </w:rPr>
        <w:t>We are increasing our full year revenue outlook as a result of our record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nine month performance. In addition, through a further reduction in our budgeted expense base, we are improving our Adjusted EBITDA outlook for the full year of 2022 by approximately 18% from our previous upward guidance revision in August of 2022.</w:t>
      </w:r>
    </w:p>
    <w:p>
      <w:pPr>
        <w:spacing w:after="0" w:line="198" w:lineRule="exact"/>
        <w:rPr>
          <w:rFonts w:ascii="Times New Roman" w:cs="Times New Roman" w:eastAsia="Times New Roman" w:hAnsi="Times New Roman"/>
          <w:sz w:val="18"/>
          <w:szCs w:val="18"/>
          <w:b w:val="1"/>
          <w:bCs w:val="1"/>
          <w:color w:val="auto"/>
        </w:rPr>
      </w:pPr>
    </w:p>
    <w:p>
      <w:pPr>
        <w:ind w:left="660" w:right="20" w:hanging="328"/>
        <w:spacing w:after="0" w:line="271" w:lineRule="auto"/>
        <w:tabs>
          <w:tab w:leader="none" w:pos="655"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Hosted Riskified’s Annual Merchant Summit: </w:t>
      </w:r>
      <w:r>
        <w:rPr>
          <w:rFonts w:ascii="Times New Roman" w:cs="Times New Roman" w:eastAsia="Times New Roman" w:hAnsi="Times New Roman"/>
          <w:sz w:val="18"/>
          <w:szCs w:val="18"/>
          <w:color w:val="auto"/>
        </w:rPr>
        <w:t>Attended by over 100 merchant contacts and prospects across all major verticals, this multiday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focused on new business pipeline generation, information sharing with industry experts and potential partnership opportunities.</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Q3 2022 Financial Performance Highlights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financial results for the three and nine months ended September 30, 2022 and 2021, in thousands except where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3000" w:type="dxa"/>
            <w:vAlign w:val="bottom"/>
            <w:gridSpan w:val="3"/>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4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6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180" w:type="dxa"/>
            <w:vAlign w:val="bottom"/>
          </w:tcPr>
          <w:p>
            <w:pPr>
              <w:spacing w:after="0"/>
              <w:rPr>
                <w:sz w:val="17"/>
                <w:szCs w:val="17"/>
                <w:color w:val="auto"/>
              </w:rPr>
            </w:pPr>
          </w:p>
        </w:tc>
      </w:tr>
      <w:tr>
        <w:trPr>
          <w:trHeight w:val="236"/>
        </w:trPr>
        <w:tc>
          <w:tcPr>
            <w:tcW w:w="434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Gross merchandise volume ("GMV") in millions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25,314</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20,948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73,391</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61,329</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GMV year over year</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63,172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52,533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181,949</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159,308</w:t>
            </w:r>
          </w:p>
        </w:tc>
      </w:tr>
      <w:tr>
        <w:trPr>
          <w:trHeight w:val="229"/>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Increase in revenues year over year</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57"/>
        </w:trPr>
        <w:tc>
          <w:tcPr>
            <w:tcW w:w="4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75"/>
              <w:spacing w:after="0"/>
              <w:rPr>
                <w:sz w:val="20"/>
                <w:szCs w:val="20"/>
                <w:color w:val="auto"/>
              </w:rPr>
            </w:pPr>
            <w:r>
              <w:rPr>
                <w:rFonts w:ascii="Times New Roman" w:cs="Times New Roman" w:eastAsia="Times New Roman" w:hAnsi="Times New Roman"/>
                <w:sz w:val="18"/>
                <w:szCs w:val="18"/>
                <w:color w:val="auto"/>
              </w:rPr>
              <w:t>32,679</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24,283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93,653</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86,213</w:t>
            </w: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70"/>
        </w:trPr>
        <w:tc>
          <w:tcPr>
            <w:tcW w:w="43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profit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(25,992)</w:t>
            </w:r>
          </w:p>
        </w:tc>
        <w:tc>
          <w:tcPr>
            <w:tcW w:w="5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(91,605)</w:t>
            </w:r>
          </w:p>
        </w:tc>
        <w:tc>
          <w:tcPr>
            <w:tcW w:w="5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(32,589)</w:t>
            </w:r>
          </w:p>
        </w:tc>
      </w:tr>
      <w:tr>
        <w:trPr>
          <w:trHeight w:val="22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profit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(25,869)</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(92,161)</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(155,828)</w:t>
            </w:r>
          </w:p>
        </w:tc>
      </w:tr>
      <w:tr>
        <w:trPr>
          <w:trHeight w:val="230"/>
        </w:trPr>
        <w:tc>
          <w:tcPr>
            <w:tcW w:w="4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306"/>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(9,182)</w:t>
            </w:r>
          </w:p>
        </w:tc>
        <w:tc>
          <w:tcPr>
            <w:tcW w:w="5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(36,254)</w:t>
            </w:r>
          </w:p>
        </w:tc>
        <w:tc>
          <w:tcPr>
            <w:tcW w:w="5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(12,500)</w:t>
            </w:r>
          </w:p>
        </w:tc>
      </w:tr>
    </w:tbl>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focused expense discipline, we further flattened our expense base in the third quarter, achieving our strongest quarterly Adjusted EBITDA result of the year. Our long-term growth trajectory remains intact, and we believe that our efforts to optimize our cost structure should continue to have a meaningful impact on our bottom line,” said Aglika Dotcheva, Chief Financial Officer of Riskified.</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“Looking ahead to the fourth quarter, we expect our broad-based and diversified business to continue driving strong revenue generation. Combined with our thoughtful efforts to manage our operating expenses, we expect to continue on our accelerated path to profitability.”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4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record first nine month performance and an expected solid fourth quarter of new revenue gives us confidence to raise the full-year revenue outlook. As such, we are increasing our revenue guidance for the year ending December 31, 2022 as follows:</w:t>
      </w:r>
    </w:p>
    <w:p>
      <w:pPr>
        <w:spacing w:after="0" w:line="20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between $257 million and $261 million, up from between $255 million and $258 million</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addition, during the prior quarter we initiated a plan to efficiently and thoughtfully reduce and optimize our operating expenses. We continued to successfully execute on this plan, and were successful in further reducing our expense base in the third quarter of 2022. We are diligently managing our expenses, while maintaining our long-term growth outlook. As a result, we are raising our Adjusted EBITDA guidance for the year ending December 31, 2022 as follows:</w:t>
      </w:r>
    </w:p>
    <w:p>
      <w:pPr>
        <w:spacing w:after="0" w:line="203" w:lineRule="exact"/>
        <w:rPr>
          <w:sz w:val="20"/>
          <w:szCs w:val="20"/>
          <w:color w:val="auto"/>
        </w:rPr>
      </w:pPr>
    </w:p>
    <w:p>
      <w:pPr>
        <w:ind w:left="660" w:right="280" w:hanging="328"/>
        <w:spacing w:after="0" w:line="23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between negative $47 million and negative $44 million, an improvement from between negative $57 million and negative $54 million</w:t>
      </w:r>
    </w:p>
    <w:p>
      <w:pPr>
        <w:spacing w:after="0" w:line="22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revision represents an improvement of approximately 18% from our August guidance. Overall, we have improved our Adjusted EBITDA guidance by 33% from our initial guidance range provided in February 2022.</w:t>
      </w:r>
    </w:p>
    <w:p>
      <w:pPr>
        <w:spacing w:after="0" w:line="189" w:lineRule="exact"/>
        <w:rPr>
          <w:sz w:val="20"/>
          <w:szCs w:val="20"/>
          <w:color w:val="auto"/>
        </w:rPr>
      </w:pPr>
    </w:p>
    <w:p>
      <w:pPr>
        <w:jc w:val="both"/>
        <w:ind w:firstLine="8"/>
        <w:spacing w:after="0" w:line="272" w:lineRule="auto"/>
        <w:tabs>
          <w:tab w:leader="none" w:pos="179"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GMV is a key performance indicator and Adjusted EBITDA is a non-GAAP metric. See “Key Performance Indicators and Non-GAAP Metrics” for additional information regarding this non-GAAP metric and “Reconciliation of Non-GAAP to GAAP Metrics” for a reconciliation of this non-GAAP metric to the most directly comparable GAAP metric.</w:t>
      </w:r>
    </w:p>
    <w:p>
      <w:pPr>
        <w:spacing w:after="0" w:line="254" w:lineRule="exact"/>
        <w:rPr>
          <w:rFonts w:ascii="Times New Roman" w:cs="Times New Roman" w:eastAsia="Times New Roman" w:hAnsi="Times New Roman"/>
          <w:sz w:val="21"/>
          <w:szCs w:val="21"/>
          <w:color w:val="auto"/>
          <w:vertAlign w:val="superscript"/>
        </w:rPr>
      </w:pPr>
    </w:p>
    <w:p>
      <w:pPr>
        <w:ind w:right="140" w:firstLine="8"/>
        <w:spacing w:after="0" w:line="280" w:lineRule="auto"/>
        <w:tabs>
          <w:tab w:leader="none" w:pos="165"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We are not able to provide a reconciliation of Adjusted EBITDA guidance for the fiscal year ending December 31, 2022 to net profit (loss) because certain items that are excluded from Adjusted EBITDA but included in net profit (loss), the most directly comparable GAAP financial measure, cannot be predicted on a forward-looking basis without unreasonable effort or are not within our control. In particular, we are unable to forecast the magnitude of share-based compensation expense and foreign currency transaction gains or losses as applicable without unreasonable efforts, and these items could significantly impact, either individually or in the aggregate, GAAP metrics in the future.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ectPr>
          <w:pgSz w:w="11900" w:h="16838" w:orient="portrait"/>
          <w:cols w:equalWidth="0" w:num="1">
            <w:col w:w="11240"/>
          </w:cols>
          <w:pgMar w:left="320" w:top="10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089" w:right="339" w:bottom="1440" w:gutter="0" w:footer="0" w:header="0"/>
          <w:type w:val="continuous"/>
        </w:sectPr>
      </w:pPr>
    </w:p>
    <w:bookmarkStart w:id="5" w:name="page6"/>
    <w:bookmarkEnd w:id="5"/>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host a conference call to discuss its financial results today, November 9, 2022 at 8:30 a.m. Eastern Time. A live webcast of the call can be accessed from Riskified’s Investor Relations website at ir.riskified.com. A replay of the webcast will also be available for a limited time at ir.riskified.com.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 and Non-GAAP Metrics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and the accompanying tables contain certain key performance indicators and non-GAAP metrics: GMV, Adjusted EBITDA, non-GAAP gross profit, non-GAAP gross profit margin, non-GAAP cost of revenue, non-GAAP operating expenses by line item, Free Cash Flow, non-GAAP net profit (loss), and non-GAAP net profit (loss) per share. These non-GAAP metrics should not be construed as an inference that our future results will be unaffected by unusual or other items. Adjusted EBITDA, non-GAAP gross profit, non-GAAP gross profit margin, non-GAAP cost of revenue, non-GAAP operating expenses by line item, non-GAAP net profit (loss) and non-GAAP net profit (loss) per share have limitations as analytical tools in that they do not reflect certain cash costs that may recur in the future, including, among other things, cash requirements for costs to replace assets being depreciated and amortized or cash payments for taxes. Management compensates for these limitations by relying on our GAAP results in addition to using these non-GAAP metrics as supplemental measures of our performance. The non-GAAP metrics used herein are not necessarily comparable to similarly titled captions of other companies due to different methods of calculation. Non-GAAP financial metrics should not be considered in isolation, as an alternative to, or superior to information prepared and presented in accordance with GAAP. These metrics are frequently used by analysts, investors and other interested parties to evaluate companies in our industry. By providing these non-GAAP metrics together with a reconciliation to the most comparable U.S. GAAP measure, we believe we are enhancing investors' understanding of our business and our results of operations, as well as assisting investors in evaluating how well we are executing our strategic initiatives.</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Gross Merchandise Volume ("GMV") as the gross total dollar value of orders received by our merchants and reviewed through our eCommerce risk management platform during the period indicated, including orders that we did not approve.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profit (loss) adjusted to remove the effects of the provision for income taxes, interest income, net, other income (expense), net, depreciation and amortization, share-based compensation expense, and payroll taxes related to share-based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define non-GAAP gross profit as GAAP gross profit adjusted to remove the effects of depreciation and amortization, share-based compensation expense, and payroll taxes related to share-based compensation, if applicable. Non-GAAP gross profit margin represents Non-GAAP gross profit expressed as a percentage of revenue.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non-GAAP cost of revenue as GAAP cost of revenue adjusted to remove the effects of depreciation and amortization, share-based compensation expense, and payroll taxes related to share-based compensation, if applicable.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define non-GAAP operating expenses by line item as GAAP operating expenses adjusted to remove the effects of depreciation and amortization, share-based compensation expense, and payroll taxes related to share-based compensation, where applicable.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define Free Cash Flow as net cash provided by (used in) operating activities, less cash payments for property and equipment and capitalized software development costs.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define non-GAAP net profit (loss), which is used to compute non-GAAP net profit (loss) per share, as GAAP net profit (loss) adjusted to remove the effects of unique or non-recurring items such as remeasurement losses on our convertible preferred share warrant liabilities and convertible preferred share tranche rights, as well as non-cash expenses such as depreciation and amortization, share-based compensation expense, and payroll taxes related to share-based compensation. We define non-GAAP net profit (loss) per share as non-GAAP net profit (loss) divided by non-GAAP weighted-average shares. We define non-GAAP weighted-average shares, which is used to compute non-GAAP net profit (loss) per share, as GAAP weighted average shares used to compute net profit (loss) per share, adjusted to reflect the ordinary shares issued in connection with the IPO that are outstanding as of the end of the period as if they were outstanding as of the beginning of the earliest period presented for comparability.</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Adjusted EBITDA, non-GAAP gross profit, non-GAAP gross profit margin, non-GAAP cost of revenue, non-GAAP operating expenses by line item, Free Cash Flow, non-GAAP net profit (loss), and non-GAAP net profit (loss) per share are non-GAAP metrics that management and our board of directors use as a supplemental measure of our performance because they assist us in comparing our operating performance on a consistent basis, as they remove the impact of items that we believe do not directly reflect our core operations. We also use Adjusted EBITDA for planning purposes, including the preparation of our internal annual operating budget and financial projections, to evaluate the performance and effectiveness of our strategic initiatives and to evaluate our capacity to expand our business. Additionally, we provide Free Cash Flow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61" w:right="339" w:bottom="1440" w:gutter="0" w:footer="0" w:header="0"/>
        </w:sectPr>
      </w:pPr>
    </w:p>
    <w:bookmarkStart w:id="6" w:name="page7"/>
    <w:bookmarkEnd w:id="6"/>
    <w:p>
      <w:pPr>
        <w:jc w:val="both"/>
        <w:spacing w:after="0" w:line="261" w:lineRule="auto"/>
        <w:rPr>
          <w:sz w:val="20"/>
          <w:szCs w:val="20"/>
          <w:color w:val="auto"/>
        </w:rPr>
      </w:pPr>
      <w:r>
        <w:rPr>
          <w:rFonts w:ascii="Times New Roman" w:cs="Times New Roman" w:eastAsia="Times New Roman" w:hAnsi="Times New Roman"/>
          <w:sz w:val="18"/>
          <w:szCs w:val="18"/>
          <w:color w:val="auto"/>
        </w:rPr>
        <w:t>because it is a non-GAAP liquidity measure that we believe provides useful information to management and investors about the amount of cash generated by the business that can be used for strategic opportunities, including investing in our business and strengthening our balance sheet. Free Cash Flow is limited, however, because it does not represent the residual cash flow available for discretionary expenditures. Free Cash Flow is not necessarily a measure of our ability to fund our cash needs.</w:t>
      </w:r>
    </w:p>
    <w:p>
      <w:pPr>
        <w:spacing w:after="0" w:line="139" w:lineRule="exact"/>
        <w:rPr>
          <w:sz w:val="20"/>
          <w:szCs w:val="20"/>
          <w:color w:val="auto"/>
        </w:rPr>
      </w:pPr>
    </w:p>
    <w:p>
      <w:pPr>
        <w:ind w:right="2200"/>
        <w:spacing w:after="0" w:line="470" w:lineRule="auto"/>
        <w:rPr>
          <w:sz w:val="20"/>
          <w:szCs w:val="20"/>
          <w:color w:val="auto"/>
        </w:rPr>
      </w:pPr>
      <w:r>
        <w:rPr>
          <w:rFonts w:ascii="Times New Roman" w:cs="Times New Roman" w:eastAsia="Times New Roman" w:hAnsi="Times New Roman"/>
          <w:sz w:val="18"/>
          <w:szCs w:val="18"/>
          <w:color w:val="auto"/>
        </w:rPr>
        <w:t xml:space="preserve">See the tables below for reconciliations of these non-GAAP financial metrics to the most directly comparable GAAP metrics. </w:t>
      </w:r>
      <w:r>
        <w:rPr>
          <w:rFonts w:ascii="Times New Roman" w:cs="Times New Roman" w:eastAsia="Times New Roman" w:hAnsi="Times New Roman"/>
          <w:sz w:val="18"/>
          <w:szCs w:val="18"/>
          <w:b w:val="1"/>
          <w:bCs w:val="1"/>
          <w:color w:val="auto"/>
        </w:rPr>
        <w:t>Forward Looking Statements</w:t>
      </w:r>
    </w:p>
    <w:p>
      <w:pPr>
        <w:spacing w:after="0" w:line="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Certain statements in this press release may constitute “forward-looking” statements and information, within the meaning of Section 27A of the Securities Act of 1933, Section 21E of the Securities Exchange Act of 1934, and the safe harbor provisions of the U.S. Private Securities Litigation Reform Act of 1995 that relate to our current expectations and views of future events. In some cases, these forward-looking statements can be identified by words or phrases such as “may,” “might,” “will,” “could,” “would,” “should,” “expect,” “plan,” “anticipate,” “intend,” “seek,” “believe,” “estimate,” “predict,” “potential,” “continue,” “contemplate,” “possible” or similar words. These forward-looking statements are subject to risks, uncertainties and assumptions, some of which are beyond our control. In addition, these forward-looking statements, including statements regarding our revenue and adjusted EBITDA guidance for fiscal year 2022, future growth potential in new industries and new geographies, internal modeling assumptions, expectations as to our new merchant pipeline and upsell opportunities, expectations as to the impact of cost reduction measures, and business plans and strategy, reflect our current views with respect to future events and are not a guarantee of future performance. Actual outcomes may differ materially from the information contained in the forward-looking statements as a result of a number of factors, including, without limitation, the following: our limited operating history and ability to manage our growth; our history of net losses and anticipated increasing operating expenses; our ability to achieve profitability; our ability to maintain and enhance our brand; our ability to attract new merchants, retain existing merchants and increase the sales of our products to existing enterprises; our dependence on the continued use of credit cards and other payment methods that expose our merchant to the risk of payment fraud; changes in laws and regulations related to the use of credit cards, such as PSD2, which have and may continue to impact our GMV and to change or reduce the use cases for our products; our ability to successfully implement our business plan in light of macroeconomic conditions, such as economic downturn, changes in consumer behavior (including as a result of COVID-19 related restrictions and macroeconomic conditions, including the rising inflationary environment), global supply chain issues and other factors that may impact eCommerce volumes and that may impact the demand for our services or have a material adverse impact on our and our business partners’ financial condition and results of operations; our ability to continue to improve our machine learning models or if our machine learning models contain errors or are otherwise ineffective or do not operate properly; our ability to predict our future revenue given our lengthy sales cycles; seasonality; our ability to operate in a highly competitive industry; merchant concentration; our ability to achieve desired operating margins; our compliance with a wide variety of U.S. and international laws and regulations; our ability to develop enhancements to our products; our dependence on our executive officers and senior management, and our ability to attract new talent, particularly in Israel; our limited experience in determining the optimal pricing for our products; our ability to obtain additional financing on favorable terms or at all; our reliance on Amazon Web Services; our ability to detect errors, defects or disruptions in our platform; our ability to protect our merchants' and their consumers’ personal or other data from a security breach and to comply with laws and regulations relating to consumer data privacy and data protection; our ability to expand into markets outside the United States; our ability to effectively expand our sales force to facilitate revenue growth; the concentration of our voting power as a result of our dual class structure; and other risk factors set forth in Item 3.D - “Risk Factors” in our Annual Report on Form 20-F, filed with the Securities and Exchange Commission ("SEC") on February 25, 2022, and other documents filed with or furnished to the SEC. These statements reflect management’s current expectations regarding future events and operating performance and speak only as of the date of this press release. You should not put undue reliance on any forward-looking statements. Although we believe that the expectations reflected in the forward-looking statements are reasonable, we cannot guarantee that future results, levels of activity, performance and events and circumstances reflected in the forward-looking statements will be achieved or will occur. Except as required by applicable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Correction of Immaterial Error</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as of and for the year ended December 31, 2021, we identified an immaterial error in our previously issued Q3 2021 earnings release relating to the recognition of share-based compensation expense. Accordingly, the Q3 2021 figures presented herein include the correction of the error. We evaluated the error and determined that the related impacts were not material. The correction does not impact our 2021 results as presented in our Annual Report on Form 20-F, filed with the SEC on February 25, 2022.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Riskified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931"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18"/>
          <w:szCs w:val="18"/>
          <w:color w:val="auto"/>
        </w:rPr>
        <w:t>Riskified empowers businesses to realize the full potential of eCommerce by making it safe, accessible, and frictionless. We have built a next-generation eCommerce risk management platform that allows online merchants to create trusted relationships with their consumers. Leveraging machine learning that benefits from a global merchant network, our platform identifies the individual behind each online interaction, helping merchants—our customers— eliminate risk and uncertainty from their business. We drive higher sales and reduce fraud and other operating costs for our merchants and strive to provide superior consumer experiences, as compared to our merchants’ performance prior to onboarding us. Learn more at riskified.com.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Relations: </w:t>
      </w:r>
      <w:r>
        <w:rPr>
          <w:rFonts w:ascii="Times New Roman" w:cs="Times New Roman" w:eastAsia="Times New Roman" w:hAnsi="Times New Roman"/>
          <w:sz w:val="18"/>
          <w:szCs w:val="18"/>
          <w:color w:val="auto"/>
        </w:rPr>
        <w:t>Chett Mandel | chett.mandel@riskified.com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Corporate Communications: </w:t>
      </w:r>
      <w:r>
        <w:rPr>
          <w:rFonts w:ascii="Times New Roman" w:cs="Times New Roman" w:eastAsia="Times New Roman" w:hAnsi="Times New Roman"/>
          <w:sz w:val="18"/>
          <w:szCs w:val="18"/>
          <w:color w:val="auto"/>
        </w:rPr>
        <w:t>press@riskified.com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61"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RISKIFIED LTD.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80" w:type="dxa"/>
            <w:vAlign w:val="bottom"/>
          </w:tcPr>
          <w:p>
            <w:pPr>
              <w:spacing w:after="0"/>
              <w:rPr>
                <w:sz w:val="16"/>
                <w:szCs w:val="16"/>
                <w:color w:val="auto"/>
              </w:rPr>
            </w:pPr>
          </w:p>
        </w:tc>
        <w:tc>
          <w:tcPr>
            <w:tcW w:w="1660" w:type="dxa"/>
            <w:vAlign w:val="bottom"/>
          </w:tcPr>
          <w:p>
            <w:pPr>
              <w:jc w:val="right"/>
              <w:ind w:right="671"/>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14"/>
        </w:trPr>
        <w:tc>
          <w:tcPr>
            <w:tcW w:w="7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6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418,143</w:t>
            </w: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deposits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85,132</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35,477</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19,338</w:t>
            </w:r>
          </w:p>
        </w:tc>
        <w:tc>
          <w:tcPr>
            <w:tcW w:w="0" w:type="dxa"/>
            <w:vAlign w:val="bottom"/>
          </w:tcPr>
          <w:p>
            <w:pPr>
              <w:spacing w:after="0"/>
              <w:rPr>
                <w:sz w:val="1"/>
                <w:szCs w:val="1"/>
                <w:color w:val="auto"/>
              </w:rPr>
            </w:pPr>
          </w:p>
        </w:tc>
      </w:tr>
      <w:tr>
        <w:trPr>
          <w:trHeight w:val="22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565,074</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11,630</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 noncurrent</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Convertible Preferred Shares, and Shareholders’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24,748</w:t>
            </w: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Guarantee obligations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Provision for chargebacks, net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12,020</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13,306</w:t>
            </w:r>
          </w:p>
        </w:tc>
        <w:tc>
          <w:tcPr>
            <w:tcW w:w="0" w:type="dxa"/>
            <w:vAlign w:val="bottom"/>
          </w:tcPr>
          <w:p>
            <w:pPr>
              <w:spacing w:after="0"/>
              <w:rPr>
                <w:sz w:val="1"/>
                <w:szCs w:val="1"/>
                <w:color w:val="auto"/>
              </w:rPr>
            </w:pPr>
          </w:p>
        </w:tc>
      </w:tr>
      <w:tr>
        <w:trPr>
          <w:trHeight w:val="223"/>
        </w:trPr>
        <w:tc>
          <w:tcPr>
            <w:tcW w:w="74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62,414</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71,773</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44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A ordinary shares, no par value; 900,000,000 shares authorized as of September 30, 2022 and</w:t>
            </w: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40" w:type="dxa"/>
            <w:vAlign w:val="bottom"/>
            <w:shd w:val="clear" w:color="auto" w:fill="CCEEFF"/>
          </w:tcPr>
          <w:p>
            <w:pPr>
              <w:ind w:left="400"/>
              <w:spacing w:after="0" w:line="184" w:lineRule="exact"/>
              <w:rPr>
                <w:sz w:val="20"/>
                <w:szCs w:val="20"/>
                <w:color w:val="auto"/>
              </w:rPr>
            </w:pPr>
            <w:r>
              <w:rPr>
                <w:rFonts w:ascii="Times New Roman" w:cs="Times New Roman" w:eastAsia="Times New Roman" w:hAnsi="Times New Roman"/>
                <w:sz w:val="18"/>
                <w:szCs w:val="18"/>
                <w:color w:val="auto"/>
              </w:rPr>
              <w:t>December 31, 2021; 94,981,604 and 75,909,531 shares issued and outstanding as of</w:t>
            </w: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744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Class B ordinary shares, no par value; 232,500,000 shares authorized as of September 30, 2022 and</w:t>
            </w: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440" w:type="dxa"/>
            <w:vAlign w:val="bottom"/>
          </w:tcPr>
          <w:p>
            <w:pPr>
              <w:ind w:left="400"/>
              <w:spacing w:after="0" w:line="184" w:lineRule="exact"/>
              <w:rPr>
                <w:sz w:val="20"/>
                <w:szCs w:val="20"/>
                <w:color w:val="auto"/>
              </w:rPr>
            </w:pPr>
            <w:r>
              <w:rPr>
                <w:rFonts w:ascii="Times New Roman" w:cs="Times New Roman" w:eastAsia="Times New Roman" w:hAnsi="Times New Roman"/>
                <w:sz w:val="18"/>
                <w:szCs w:val="18"/>
                <w:color w:val="auto"/>
              </w:rPr>
              <w:t>December 31, 2021; 74,284,784 and 88,055,520 shares issued and outstanding as of</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180" w:type="dxa"/>
            <w:vAlign w:val="bottom"/>
          </w:tcPr>
          <w:p>
            <w:pPr>
              <w:spacing w:after="0"/>
              <w:rPr>
                <w:sz w:val="20"/>
                <w:szCs w:val="20"/>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775,249</w:t>
            </w:r>
          </w:p>
        </w:tc>
        <w:tc>
          <w:tcPr>
            <w:tcW w:w="0" w:type="dxa"/>
            <w:vAlign w:val="bottom"/>
          </w:tcPr>
          <w:p>
            <w:pPr>
              <w:spacing w:after="0"/>
              <w:rPr>
                <w:sz w:val="1"/>
                <w:szCs w:val="1"/>
                <w:color w:val="auto"/>
              </w:rPr>
            </w:pPr>
          </w:p>
        </w:tc>
      </w:tr>
      <w:tr>
        <w:trPr>
          <w:trHeight w:val="229"/>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profit (loss)</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(246,564)</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528,861</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convertible preferred shares,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600,634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7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2" w:right="35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RISKIFIED LTD.</w:t>
      </w:r>
    </w:p>
    <w:p>
      <w:pPr>
        <w:spacing w:after="0" w:line="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4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3"/>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159,308</w:t>
            </w:r>
          </w:p>
        </w:tc>
        <w:tc>
          <w:tcPr>
            <w:tcW w:w="0" w:type="dxa"/>
            <w:vAlign w:val="bottom"/>
          </w:tcPr>
          <w:p>
            <w:pPr>
              <w:spacing w:after="0"/>
              <w:rPr>
                <w:sz w:val="1"/>
                <w:szCs w:val="1"/>
                <w:color w:val="auto"/>
              </w:rPr>
            </w:pPr>
          </w:p>
        </w:tc>
      </w:tr>
      <w:tr>
        <w:trPr>
          <w:trHeight w:val="229"/>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73,095</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86,213</w:t>
            </w:r>
          </w:p>
        </w:tc>
        <w:tc>
          <w:tcPr>
            <w:tcW w:w="0" w:type="dxa"/>
            <w:vAlign w:val="bottom"/>
          </w:tcPr>
          <w:p>
            <w:pPr>
              <w:spacing w:after="0"/>
              <w:rPr>
                <w:sz w:val="1"/>
                <w:szCs w:val="1"/>
                <w:color w:val="auto"/>
              </w:rPr>
            </w:pPr>
          </w:p>
        </w:tc>
      </w:tr>
      <w:tr>
        <w:trPr>
          <w:trHeight w:val="209"/>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38,384</w:t>
            </w:r>
          </w:p>
        </w:tc>
        <w:tc>
          <w:tcPr>
            <w:tcW w:w="0" w:type="dxa"/>
            <w:vAlign w:val="bottom"/>
          </w:tcPr>
          <w:p>
            <w:pPr>
              <w:spacing w:after="0"/>
              <w:rPr>
                <w:sz w:val="1"/>
                <w:szCs w:val="1"/>
                <w:color w:val="auto"/>
              </w:rPr>
            </w:pPr>
          </w:p>
        </w:tc>
      </w:tr>
      <w:tr>
        <w:trPr>
          <w:trHeight w:val="230"/>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65,191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58,671</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51,873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185,258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118,802</w:t>
            </w:r>
          </w:p>
        </w:tc>
        <w:tc>
          <w:tcPr>
            <w:tcW w:w="0" w:type="dxa"/>
            <w:vAlign w:val="bottom"/>
          </w:tcPr>
          <w:p>
            <w:pPr>
              <w:spacing w:after="0"/>
              <w:rPr>
                <w:sz w:val="1"/>
                <w:szCs w:val="1"/>
                <w:color w:val="auto"/>
              </w:rPr>
            </w:pPr>
          </w:p>
        </w:tc>
      </w:tr>
      <w:tr>
        <w:trPr>
          <w:trHeight w:val="223"/>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profit (loss)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(32,589)</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(122,888)</w:t>
            </w:r>
          </w:p>
        </w:tc>
        <w:tc>
          <w:tcPr>
            <w:tcW w:w="0" w:type="dxa"/>
            <w:vAlign w:val="bottom"/>
          </w:tcPr>
          <w:p>
            <w:pPr>
              <w:spacing w:after="0"/>
              <w:rPr>
                <w:sz w:val="1"/>
                <w:szCs w:val="1"/>
                <w:color w:val="auto"/>
              </w:rPr>
            </w:pPr>
          </w:p>
        </w:tc>
      </w:tr>
      <w:tr>
        <w:trPr>
          <w:trHeight w:val="223"/>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Profit (loss) before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(155,263)</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0" w:type="dxa"/>
            <w:vAlign w:val="bottom"/>
          </w:tcPr>
          <w:p>
            <w:pPr>
              <w:spacing w:after="0"/>
              <w:rPr>
                <w:sz w:val="1"/>
                <w:szCs w:val="1"/>
                <w:color w:val="auto"/>
              </w:rPr>
            </w:pPr>
          </w:p>
        </w:tc>
      </w:tr>
      <w:tr>
        <w:trPr>
          <w:trHeight w:val="223"/>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profit (loss)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(92,161)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profit (loss), net of tax:</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comprehensive profit (loss)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profit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Net profit (loss) per share attributable to Class A and B</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36"/>
        </w:trPr>
        <w:tc>
          <w:tcPr>
            <w:tcW w:w="45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Weighted-average shares used in computing net profit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5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50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per share attributable to Class A and B ordinary</w:t>
            </w:r>
          </w:p>
        </w:tc>
        <w:tc>
          <w:tcPr>
            <w:tcW w:w="24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168,798,761</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111,164,396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166,598,745</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47,073,853</w:t>
            </w:r>
          </w:p>
        </w:tc>
        <w:tc>
          <w:tcPr>
            <w:tcW w:w="0" w:type="dxa"/>
            <w:vAlign w:val="bottom"/>
          </w:tcPr>
          <w:p>
            <w:pPr>
              <w:spacing w:after="0"/>
              <w:rPr>
                <w:sz w:val="1"/>
                <w:szCs w:val="1"/>
                <w:color w:val="auto"/>
              </w:rPr>
            </w:pPr>
          </w:p>
        </w:tc>
      </w:tr>
      <w:tr>
        <w:trPr>
          <w:trHeight w:val="207"/>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29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RISKIFIED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80" w:type="dxa"/>
            <w:vAlign w:val="bottom"/>
          </w:tcPr>
          <w:p>
            <w:pPr>
              <w:spacing w:after="0"/>
              <w:rPr>
                <w:sz w:val="18"/>
                <w:szCs w:val="18"/>
                <w:color w:val="auto"/>
              </w:rPr>
            </w:pPr>
          </w:p>
        </w:tc>
        <w:tc>
          <w:tcPr>
            <w:tcW w:w="3040" w:type="dxa"/>
            <w:vAlign w:val="bottom"/>
            <w:gridSpan w:val="4"/>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profit (loss)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(92,161)</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Adjustments to reconcile net profit (loss) to net</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cash provided by (used in) operating</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foreign currency</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Provision for (benefit from) account</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receivable allowances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deferred contract costs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176"/>
        </w:trPr>
        <w:tc>
          <w:tcPr>
            <w:tcW w:w="3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Remeasurement of convertible preferred</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 warrant liabilities</w:t>
            </w:r>
          </w:p>
        </w:tc>
        <w:tc>
          <w:tcPr>
            <w:tcW w:w="2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Remeasurement of convertible preferred</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share tranche rights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Non-cash operating lease right-of-use asset</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Changes in accrued interest on short-term</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Ordinary share warrants issued to a customer</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w:t>
            </w:r>
          </w:p>
        </w:tc>
        <w:tc>
          <w:tcPr>
            <w:tcW w:w="0" w:type="dxa"/>
            <w:vAlign w:val="bottom"/>
          </w:tcPr>
          <w:p>
            <w:pPr>
              <w:spacing w:after="0"/>
              <w:rPr>
                <w:sz w:val="1"/>
                <w:szCs w:val="1"/>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(10,928)</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Guarantee obligations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chargebacks, net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7,522</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short-term deposits</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(335,753)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Maturities of short-term deposits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149,789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235,000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38,985</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155"/>
        </w:trPr>
        <w:tc>
          <w:tcPr>
            <w:tcW w:w="3560" w:type="dxa"/>
            <w:vAlign w:val="bottom"/>
            <w:shd w:val="clear" w:color="auto" w:fill="CCEEFF"/>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(105,701)</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(75,960)</w:t>
            </w:r>
          </w:p>
        </w:tc>
        <w:tc>
          <w:tcPr>
            <w:tcW w:w="0" w:type="dxa"/>
            <w:vAlign w:val="bottom"/>
          </w:tcPr>
          <w:p>
            <w:pPr>
              <w:spacing w:after="0"/>
              <w:rPr>
                <w:sz w:val="1"/>
                <w:szCs w:val="1"/>
                <w:color w:val="auto"/>
              </w:rPr>
            </w:pPr>
          </w:p>
        </w:tc>
      </w:tr>
      <w:tr>
        <w:trPr>
          <w:trHeight w:val="21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issuance of convertible</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6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preferred shares and warrants, net of issuance</w:t>
            </w:r>
          </w:p>
        </w:tc>
        <w:tc>
          <w:tcPr>
            <w:tcW w:w="26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costs</w:t>
            </w: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0" w:type="dxa"/>
            <w:vAlign w:val="bottom"/>
          </w:tcPr>
          <w:p>
            <w:pPr>
              <w:spacing w:after="0"/>
              <w:rPr>
                <w:sz w:val="1"/>
                <w:szCs w:val="1"/>
                <w:color w:val="auto"/>
              </w:rPr>
            </w:pP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175"/>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initial public offering, net of</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392,273</w:t>
            </w:r>
          </w:p>
        </w:tc>
        <w:tc>
          <w:tcPr>
            <w:tcW w:w="0" w:type="dxa"/>
            <w:vAlign w:val="bottom"/>
          </w:tcPr>
          <w:p>
            <w:pPr>
              <w:spacing w:after="0"/>
              <w:rPr>
                <w:sz w:val="1"/>
                <w:szCs w:val="1"/>
                <w:color w:val="auto"/>
              </w:rPr>
            </w:pPr>
          </w:p>
        </w:tc>
      </w:tr>
      <w:tr>
        <w:trPr>
          <w:trHeight w:val="175"/>
        </w:trPr>
        <w:tc>
          <w:tcPr>
            <w:tcW w:w="35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Proceeds from cash exercise of series E-1</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26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0" w:type="dxa"/>
            <w:vAlign w:val="bottom"/>
          </w:tcPr>
          <w:p>
            <w:pPr>
              <w:spacing w:after="0"/>
              <w:rPr>
                <w:sz w:val="1"/>
                <w:szCs w:val="1"/>
                <w:color w:val="auto"/>
              </w:rPr>
            </w:pPr>
          </w:p>
        </w:tc>
      </w:tr>
      <w:tr>
        <w:trPr>
          <w:trHeight w:val="155"/>
        </w:trPr>
        <w:tc>
          <w:tcPr>
            <w:tcW w:w="3560" w:type="dxa"/>
            <w:vAlign w:val="bottom"/>
          </w:tcPr>
          <w:p>
            <w:pPr>
              <w:ind w:left="460"/>
              <w:spacing w:after="0" w:line="156" w:lineRule="exact"/>
              <w:rPr>
                <w:sz w:val="20"/>
                <w:szCs w:val="20"/>
                <w:color w:val="auto"/>
              </w:rPr>
            </w:pPr>
            <w:r>
              <w:rPr>
                <w:rFonts w:ascii="Times New Roman" w:cs="Times New Roman" w:eastAsia="Times New Roman" w:hAnsi="Times New Roman"/>
                <w:sz w:val="18"/>
                <w:szCs w:val="18"/>
                <w:color w:val="auto"/>
              </w:rPr>
              <w:t>Net cash provided by (used in) financing</w:t>
            </w:r>
          </w:p>
        </w:tc>
        <w:tc>
          <w:tcPr>
            <w:tcW w:w="2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tcBorders>
              <w:bottom w:val="single" w:sz="8" w:color="CCEEFF"/>
            </w:tcBorders>
          </w:tcPr>
          <w:p>
            <w:pPr>
              <w:ind w:left="62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399,325</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424,635</w:t>
            </w:r>
          </w:p>
        </w:tc>
        <w:tc>
          <w:tcPr>
            <w:tcW w:w="0" w:type="dxa"/>
            <w:vAlign w:val="bottom"/>
          </w:tcPr>
          <w:p>
            <w:pPr>
              <w:spacing w:after="0"/>
              <w:rPr>
                <w:sz w:val="1"/>
                <w:szCs w:val="1"/>
                <w:color w:val="auto"/>
              </w:rPr>
            </w:pPr>
          </w:p>
        </w:tc>
      </w:tr>
      <w:tr>
        <w:trPr>
          <w:trHeight w:val="156"/>
        </w:trPr>
        <w:tc>
          <w:tcPr>
            <w:tcW w:w="356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increase (decrease) in cash, cash</w:t>
            </w:r>
          </w:p>
        </w:tc>
        <w:tc>
          <w:tcPr>
            <w:tcW w:w="26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324,397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(125,050)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342,418</w:t>
            </w:r>
          </w:p>
        </w:tc>
        <w:tc>
          <w:tcPr>
            <w:tcW w:w="0" w:type="dxa"/>
            <w:vAlign w:val="bottom"/>
          </w:tcPr>
          <w:p>
            <w:pPr>
              <w:spacing w:after="0"/>
              <w:rPr>
                <w:sz w:val="1"/>
                <w:szCs w:val="1"/>
                <w:color w:val="auto"/>
              </w:rPr>
            </w:pPr>
          </w:p>
        </w:tc>
      </w:tr>
      <w:tr>
        <w:trPr>
          <w:trHeight w:val="176"/>
        </w:trPr>
        <w:tc>
          <w:tcPr>
            <w:tcW w:w="3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Effects of exchange rates on cash, cash</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5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295,118</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124,678</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425,127</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106,657</w:t>
            </w:r>
          </w:p>
        </w:tc>
        <w:tc>
          <w:tcPr>
            <w:tcW w:w="0" w:type="dxa"/>
            <w:vAlign w:val="bottom"/>
          </w:tcPr>
          <w:p>
            <w:pPr>
              <w:spacing w:after="0"/>
              <w:rPr>
                <w:sz w:val="1"/>
                <w:szCs w:val="1"/>
                <w:color w:val="auto"/>
              </w:rPr>
            </w:pPr>
          </w:p>
        </w:tc>
      </w:tr>
      <w:tr>
        <w:trPr>
          <w:trHeight w:val="155"/>
        </w:trPr>
        <w:tc>
          <w:tcPr>
            <w:tcW w:w="356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Cash, cash equivalents, and restricted cash—end</w:t>
            </w:r>
          </w:p>
        </w:tc>
        <w:tc>
          <w:tcPr>
            <w:tcW w:w="2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297,431</w:t>
            </w:r>
          </w:p>
        </w:tc>
        <w:tc>
          <w:tcPr>
            <w:tcW w:w="80" w:type="dxa"/>
            <w:vAlign w:val="bottom"/>
          </w:tcPr>
          <w:p>
            <w:pPr>
              <w:spacing w:after="0"/>
              <w:rPr>
                <w:sz w:val="13"/>
                <w:szCs w:val="13"/>
                <w:color w:val="auto"/>
              </w:rPr>
            </w:pPr>
          </w:p>
        </w:tc>
        <w:tc>
          <w:tcPr>
            <w:tcW w:w="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449,075</w:t>
            </w:r>
          </w:p>
        </w:tc>
        <w:tc>
          <w:tcPr>
            <w:tcW w:w="80" w:type="dxa"/>
            <w:vAlign w:val="bottom"/>
          </w:tcPr>
          <w:p>
            <w:pPr>
              <w:spacing w:after="0"/>
              <w:rPr>
                <w:sz w:val="13"/>
                <w:szCs w:val="13"/>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297,431</w:t>
            </w:r>
          </w:p>
        </w:tc>
        <w:tc>
          <w:tcPr>
            <w:tcW w:w="80" w:type="dxa"/>
            <w:vAlign w:val="bottom"/>
          </w:tcPr>
          <w:p>
            <w:pPr>
              <w:spacing w:after="0"/>
              <w:rPr>
                <w:sz w:val="13"/>
                <w:szCs w:val="13"/>
                <w:color w:val="auto"/>
              </w:rPr>
            </w:pPr>
          </w:p>
        </w:tc>
        <w:tc>
          <w:tcPr>
            <w:tcW w:w="5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449,075</w:t>
            </w:r>
          </w:p>
        </w:tc>
        <w:tc>
          <w:tcPr>
            <w:tcW w:w="0" w:type="dxa"/>
            <w:vAlign w:val="bottom"/>
          </w:tcPr>
          <w:p>
            <w:pPr>
              <w:spacing w:after="0"/>
              <w:rPr>
                <w:sz w:val="1"/>
                <w:szCs w:val="1"/>
                <w:color w:val="auto"/>
              </w:rPr>
            </w:pPr>
          </w:p>
        </w:tc>
      </w:tr>
      <w:tr>
        <w:trPr>
          <w:trHeight w:val="221"/>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period</w:t>
            </w:r>
          </w:p>
        </w:tc>
        <w:tc>
          <w:tcPr>
            <w:tcW w:w="2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00" w:top="297" w:right="819" w:bottom="52" w:gutter="0" w:footer="0" w:header="0"/>
        </w:sect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280"/>
          </w:cols>
          <w:pgMar w:left="800" w:top="297" w:right="819" w:bottom="52"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Reconciliation of Non-GAAP to GAAP Metrics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non-GAAP metrics to the most directly comparable GAAP metric and are presented in thousands except for share and per share amounts.</w:t>
      </w:r>
    </w:p>
    <w:p>
      <w:pPr>
        <w:sectPr>
          <w:pgSz w:w="11900" w:h="16838" w:orient="portrait"/>
          <w:cols w:equalWidth="0" w:num="1">
            <w:col w:w="11240"/>
          </w:cols>
          <w:pgMar w:left="320" w:top="1089" w:right="339" w:bottom="1440" w:gutter="0" w:footer="0" w:header="0"/>
        </w:sectPr>
      </w:pPr>
    </w:p>
    <w:p>
      <w:pPr>
        <w:spacing w:after="0" w:line="178" w:lineRule="exact"/>
        <w:rPr>
          <w:sz w:val="20"/>
          <w:szCs w:val="20"/>
          <w:color w:val="auto"/>
        </w:rPr>
      </w:pPr>
    </w:p>
    <w:p>
      <w:pPr>
        <w:jc w:val="center"/>
        <w:ind w:left="47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21590</wp:posOffset>
            </wp:positionV>
            <wp:extent cx="20999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6" w:lineRule="exact"/>
        <w:rPr>
          <w:sz w:val="20"/>
          <w:szCs w:val="20"/>
          <w:color w:val="auto"/>
        </w:rPr>
      </w:pPr>
    </w:p>
    <w:p>
      <w:pPr>
        <w:ind w:left="5160"/>
        <w:spacing w:after="0"/>
        <w:tabs>
          <w:tab w:leader="none" w:pos="68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21590</wp:posOffset>
            </wp:positionV>
            <wp:extent cx="2100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6"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640" w:space="720"/>
            <w:col w:w="28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760" w:type="dxa"/>
            <w:vAlign w:val="bottom"/>
            <w:tcBorders>
              <w:top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0" w:type="dxa"/>
            <w:vAlign w:val="bottom"/>
            <w:tcBorders>
              <w:top w:val="single" w:sz="8" w:color="auto"/>
            </w:tcBorders>
          </w:tcPr>
          <w:p>
            <w:pPr>
              <w:spacing w:after="0"/>
              <w:rPr>
                <w:sz w:val="17"/>
                <w:szCs w:val="17"/>
                <w:color w:val="auto"/>
              </w:rPr>
            </w:pPr>
          </w:p>
        </w:tc>
      </w:tr>
      <w:tr>
        <w:trPr>
          <w:trHeight w:val="23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profit (loss)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(155,828)</w:t>
            </w: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122,888</w:t>
            </w: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52,234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Payroll taxes related to share-based compensation</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(9,182)</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(13,759)</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(36,254)</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r>
      <w:tr>
        <w:trPr>
          <w:trHeight w:val="21"/>
        </w:trPr>
        <w:tc>
          <w:tcPr>
            <w:tcW w:w="4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sectPr>
          <w:pgSz w:w="11900" w:h="16838" w:orient="portrait"/>
          <w:cols w:equalWidth="0" w:num="1">
            <w:col w:w="11240"/>
          </w:cols>
          <w:pgMar w:left="320" w:top="1089" w:right="339" w:bottom="1440" w:gutter="0" w:footer="0" w:header="0"/>
          <w:type w:val="continuous"/>
        </w:sectPr>
      </w:pPr>
    </w:p>
    <w:p>
      <w:pPr>
        <w:jc w:val="center"/>
        <w:ind w:left="43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21590</wp:posOffset>
            </wp:positionV>
            <wp:extent cx="21856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26" w:lineRule="exact"/>
        <w:rPr>
          <w:sz w:val="20"/>
          <w:szCs w:val="20"/>
          <w:color w:val="auto"/>
        </w:rPr>
      </w:pPr>
    </w:p>
    <w:p>
      <w:pPr>
        <w:ind w:left="4920"/>
        <w:spacing w:after="0"/>
        <w:tabs>
          <w:tab w:leader="none" w:pos="66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21590</wp:posOffset>
            </wp:positionV>
            <wp:extent cx="2186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6305" cy="8255"/>
                    </a:xfrm>
                    <a:prstGeom prst="rect">
                      <a:avLst/>
                    </a:prstGeom>
                    <a:noFill/>
                  </pic:spPr>
                </pic:pic>
              </a:graphicData>
            </a:graphic>
          </wp:anchor>
        </w:drawing>
      </w:r>
    </w:p>
    <w:p>
      <w:pPr>
        <w:spacing w:after="0" w:line="26" w:lineRule="exact"/>
        <w:rPr>
          <w:sz w:val="20"/>
          <w:szCs w:val="20"/>
          <w:color w:val="auto"/>
        </w:rPr>
      </w:pPr>
    </w:p>
    <w:p>
      <w:pPr>
        <w:ind w:left="160"/>
        <w:spacing w:after="0"/>
        <w:tabs>
          <w:tab w:leader="none" w:pos="190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580" w:space="720"/>
            <w:col w:w="294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32,679</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24,283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93,653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86,213</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Plus: depreciation and amortization</w:t>
            </w:r>
          </w:p>
        </w:tc>
        <w:tc>
          <w:tcPr>
            <w:tcW w:w="5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Plus: share-based compensation expense</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42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Plus: payroll taxes related to share-based compensation</w:t>
            </w:r>
          </w:p>
        </w:tc>
        <w:tc>
          <w:tcPr>
            <w:tcW w:w="5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86,784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24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46 %</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profit margin</w:t>
            </w: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905"/>
        </w:trPr>
        <w:tc>
          <w:tcPr>
            <w:tcW w:w="4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type w:val="continuous"/>
        </w:sectPr>
      </w:pPr>
    </w:p>
    <w:bookmarkStart w:id="12" w:name="page13"/>
    <w:bookmarkEnd w:id="12"/>
    <w:p>
      <w:pPr>
        <w:jc w:val="center"/>
        <w:ind w:left="47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21590</wp:posOffset>
            </wp:positionV>
            <wp:extent cx="20999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6" w:lineRule="exact"/>
        <w:rPr>
          <w:sz w:val="20"/>
          <w:szCs w:val="20"/>
          <w:color w:val="auto"/>
        </w:rPr>
      </w:pPr>
    </w:p>
    <w:p>
      <w:pPr>
        <w:ind w:left="5160"/>
        <w:spacing w:after="0"/>
        <w:tabs>
          <w:tab w:leader="none" w:pos="684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21590</wp:posOffset>
            </wp:positionV>
            <wp:extent cx="2100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26"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640" w:space="720"/>
            <w:col w:w="2880"/>
          </w:cols>
          <w:pgMar w:left="320" w:top="974"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Borders>
              <w:top w:val="single" w:sz="8" w:color="auto"/>
            </w:tcBorders>
          </w:tcPr>
          <w:p>
            <w:pPr>
              <w:spacing w:after="0"/>
              <w:rPr>
                <w:sz w:val="17"/>
                <w:szCs w:val="17"/>
                <w:color w:val="auto"/>
              </w:rPr>
            </w:pPr>
          </w:p>
        </w:tc>
      </w:tr>
      <w:tr>
        <w:trPr>
          <w:trHeight w:val="23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cost of revenue</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28,250</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88,296</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73,095</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share-based compensation expense</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payroll taxes related to share-based compensation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cost of revenue</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38,384</w:t>
            </w: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share-based compensation expense</w:t>
            </w: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44,971</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35,044</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45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sales and marketing</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20,534</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19,512</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66,555</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46,996</w:t>
            </w: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share-based compensation expense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payroll taxes related to share-based compensation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14,927</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40,308</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7"/>
        </w:trPr>
        <w:tc>
          <w:tcPr>
            <w:tcW w:w="45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18,110</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65,191</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depreciation and amortization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30"/>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Less: share-based compensation expense</w:t>
            </w: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30,260</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9,173</w:t>
            </w: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payroll taxes related to share-based compensation</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10,246</w:t>
            </w:r>
          </w:p>
        </w:tc>
        <w:tc>
          <w:tcPr>
            <w:tcW w:w="1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34,289</w:t>
            </w:r>
          </w:p>
        </w:tc>
        <w:tc>
          <w:tcPr>
            <w:tcW w:w="1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23,932</w:t>
            </w:r>
          </w:p>
        </w:tc>
      </w:tr>
      <w:tr>
        <w:trPr>
          <w:trHeight w:val="20"/>
        </w:trPr>
        <w:tc>
          <w:tcPr>
            <w:tcW w:w="4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74" w:right="339" w:bottom="1440" w:gutter="0" w:footer="0" w:header="0"/>
          <w:type w:val="continuous"/>
        </w:sectPr>
      </w:pPr>
    </w:p>
    <w:p>
      <w:pPr>
        <w:spacing w:after="0" w:line="162" w:lineRule="exact"/>
        <w:rPr>
          <w:sz w:val="20"/>
          <w:szCs w:val="20"/>
          <w:color w:val="auto"/>
        </w:rPr>
      </w:pPr>
    </w:p>
    <w:p>
      <w:pPr>
        <w:jc w:val="center"/>
        <w:ind w:left="47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21590</wp:posOffset>
            </wp:positionV>
            <wp:extent cx="20828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26" w:lineRule="exact"/>
        <w:rPr>
          <w:sz w:val="20"/>
          <w:szCs w:val="20"/>
          <w:color w:val="auto"/>
        </w:rPr>
      </w:pPr>
    </w:p>
    <w:p>
      <w:pPr>
        <w:ind w:left="5200"/>
        <w:spacing w:after="0"/>
        <w:tabs>
          <w:tab w:leader="none" w:pos="686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21590</wp:posOffset>
            </wp:positionV>
            <wp:extent cx="2100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26" w:lineRule="exact"/>
        <w:rPr>
          <w:sz w:val="20"/>
          <w:szCs w:val="20"/>
          <w:color w:val="auto"/>
        </w:rPr>
      </w:pPr>
    </w:p>
    <w:p>
      <w:pPr>
        <w:ind w:left="20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660" w:space="720"/>
            <w:col w:w="2860"/>
          </w:cols>
          <w:pgMar w:left="320" w:top="974"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60" w:type="dxa"/>
            <w:vAlign w:val="bottom"/>
            <w:tcBorders>
              <w:top w:val="single" w:sz="8" w:color="auto"/>
            </w:tcBorders>
          </w:tcPr>
          <w:p>
            <w:pPr>
              <w:spacing w:after="0"/>
              <w:rPr>
                <w:sz w:val="17"/>
                <w:szCs w:val="17"/>
                <w:color w:val="auto"/>
              </w:rPr>
            </w:pPr>
          </w:p>
        </w:tc>
      </w:tr>
      <w:tr>
        <w:trPr>
          <w:trHeight w:val="235"/>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(11,546)</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(22,154)</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(6,257)</w:t>
            </w: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5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(27,102)</w:t>
            </w:r>
          </w:p>
        </w:tc>
        <w:tc>
          <w:tcPr>
            <w:tcW w:w="100" w:type="dxa"/>
            <w:vAlign w:val="bottom"/>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(11,202)</w:t>
            </w:r>
          </w:p>
        </w:tc>
      </w:tr>
      <w:tr>
        <w:trPr>
          <w:trHeight w:val="20"/>
        </w:trPr>
        <w:tc>
          <w:tcPr>
            <w:tcW w:w="4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85"/>
        </w:trPr>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jc w:val="right"/>
              <w:ind w:right="353"/>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40"/>
          </w:cols>
          <w:pgMar w:left="320" w:top="974" w:right="339" w:bottom="1440" w:gutter="0" w:footer="0" w:header="0"/>
          <w:type w:val="continuous"/>
        </w:sectPr>
      </w:pPr>
    </w:p>
    <w:bookmarkStart w:id="13" w:name="page14"/>
    <w:bookmarkEnd w:id="13"/>
    <w:p>
      <w:pPr>
        <w:jc w:val="center"/>
        <w:ind w:left="46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21590</wp:posOffset>
            </wp:positionV>
            <wp:extent cx="20999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6" w:lineRule="exact"/>
        <w:rPr>
          <w:sz w:val="20"/>
          <w:szCs w:val="20"/>
          <w:color w:val="auto"/>
        </w:rPr>
      </w:pPr>
    </w:p>
    <w:p>
      <w:pPr>
        <w:ind w:left="514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br w:type="column"/>
      </w: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21590</wp:posOffset>
            </wp:positionV>
            <wp:extent cx="2108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6" w:lineRule="exact"/>
        <w:rPr>
          <w:sz w:val="20"/>
          <w:szCs w:val="20"/>
          <w:color w:val="auto"/>
        </w:rPr>
      </w:pPr>
    </w:p>
    <w:p>
      <w:pPr>
        <w:ind w:left="180"/>
        <w:spacing w:after="0"/>
        <w:tabs>
          <w:tab w:leader="none" w:pos="1880" w:val="left"/>
        </w:tabs>
        <w:rPr>
          <w:sz w:val="20"/>
          <w:szCs w:val="20"/>
          <w:color w:val="auto"/>
        </w:rPr>
      </w:pPr>
      <w:r>
        <w:rPr>
          <w:rFonts w:ascii="Times New Roman" w:cs="Times New Roman" w:eastAsia="Times New Roman" w:hAnsi="Times New Roman"/>
          <w:sz w:val="16"/>
          <w:szCs w:val="16"/>
          <w:b w:val="1"/>
          <w:bCs w:val="1"/>
          <w:color w:val="auto"/>
        </w:rPr>
        <w:t>2022</w:t>
      </w:r>
      <w:r>
        <w:rPr>
          <w:sz w:val="20"/>
          <w:szCs w:val="20"/>
          <w:color w:val="auto"/>
        </w:rPr>
        <w:tab/>
      </w:r>
      <w:r>
        <w:rPr>
          <w:rFonts w:ascii="Times New Roman" w:cs="Times New Roman" w:eastAsia="Times New Roman" w:hAnsi="Times New Roman"/>
          <w:sz w:val="16"/>
          <w:szCs w:val="16"/>
          <w:b w:val="1"/>
          <w:bCs w:val="1"/>
          <w:color w:val="auto"/>
        </w:rPr>
        <w:t>2021</w:t>
      </w:r>
    </w:p>
    <w:p>
      <w:pPr>
        <w:spacing w:after="0" w:line="28" w:lineRule="exact"/>
        <w:rPr>
          <w:sz w:val="20"/>
          <w:szCs w:val="20"/>
          <w:color w:val="auto"/>
        </w:rPr>
      </w:pPr>
    </w:p>
    <w:p>
      <w:pPr>
        <w:sectPr>
          <w:pgSz w:w="11900" w:h="16838" w:orient="portrait"/>
          <w:cols w:equalWidth="0" w:num="2">
            <w:col w:w="7640" w:space="720"/>
            <w:col w:w="2860"/>
          </w:cols>
          <w:pgMar w:left="320" w:top="1150" w:right="35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profit (loss)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(25,869)</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(155,828)</w:t>
            </w:r>
          </w:p>
        </w:tc>
        <w:tc>
          <w:tcPr>
            <w:tcW w:w="0" w:type="dxa"/>
            <w:vAlign w:val="bottom"/>
          </w:tcPr>
          <w:p>
            <w:pPr>
              <w:spacing w:after="0"/>
              <w:rPr>
                <w:sz w:val="1"/>
                <w:szCs w:val="1"/>
                <w:color w:val="auto"/>
              </w:rPr>
            </w:pPr>
          </w:p>
        </w:tc>
      </w:tr>
      <w:tr>
        <w:trPr>
          <w:trHeight w:val="184"/>
        </w:trPr>
        <w:tc>
          <w:tcPr>
            <w:tcW w:w="450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Remeasurement of convertible preferred share warrant</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64,401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101,413</w:t>
            </w: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Remeasurement of convertible preferred share tranche</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rights</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21,260</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0" w:type="dxa"/>
            <w:vAlign w:val="bottom"/>
          </w:tcPr>
          <w:p>
            <w:pPr>
              <w:spacing w:after="0"/>
              <w:rPr>
                <w:sz w:val="1"/>
                <w:szCs w:val="1"/>
                <w:color w:val="auto"/>
              </w:rPr>
            </w:pPr>
          </w:p>
        </w:tc>
      </w:tr>
      <w:tr>
        <w:trPr>
          <w:trHeight w:val="229"/>
        </w:trPr>
        <w:tc>
          <w:tcPr>
            <w:tcW w:w="4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Payroll taxes related to share-based compensation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profit (loss)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(13,455)</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Net profit (loss) per share attributable to Class A and B</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spacing w:after="0"/>
              <w:rPr>
                <w:sz w:val="16"/>
                <w:szCs w:val="16"/>
                <w:color w:val="auto"/>
              </w:rPr>
            </w:pPr>
          </w:p>
        </w:tc>
        <w:tc>
          <w:tcPr>
            <w:tcW w:w="500" w:type="dxa"/>
            <w:vAlign w:val="bottom"/>
            <w:vMerge w:val="restart"/>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7"/>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line="171" w:lineRule="exact"/>
              <w:rPr>
                <w:sz w:val="20"/>
                <w:szCs w:val="20"/>
                <w:color w:val="auto"/>
              </w:rPr>
            </w:pPr>
            <w:r>
              <w:rPr>
                <w:rFonts w:ascii="Times New Roman" w:cs="Times New Roman" w:eastAsia="Times New Roman" w:hAnsi="Times New Roman"/>
                <w:sz w:val="18"/>
                <w:szCs w:val="18"/>
                <w:color w:val="auto"/>
              </w:rPr>
              <w:t>Non-GAAP net profit (loss) per share attributable to Class A</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5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B ordinary shareholders, basic and diluted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0" w:type="dxa"/>
            <w:vAlign w:val="bottom"/>
          </w:tcPr>
          <w:p>
            <w:pPr>
              <w:spacing w:after="0"/>
              <w:rPr>
                <w:sz w:val="1"/>
                <w:szCs w:val="1"/>
                <w:color w:val="auto"/>
              </w:rPr>
            </w:pPr>
          </w:p>
        </w:tc>
      </w:tr>
      <w:tr>
        <w:trPr>
          <w:trHeight w:val="20"/>
        </w:trPr>
        <w:tc>
          <w:tcPr>
            <w:tcW w:w="4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5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Weighted-average shares used in computing net profit (loss)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per share attributable to Class A and B ordinary</w:t>
            </w: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168,798,761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111,164,396</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166,598,745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47,073,853</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shareholders, basic and diluted</w:t>
            </w:r>
          </w:p>
        </w:tc>
        <w:tc>
          <w:tcPr>
            <w:tcW w:w="3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5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Add: Non-GAAP weighting adjustment for Class A and B</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shares issued in connection with IPO</w:t>
            </w: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50,788,044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113,924,282</w:t>
            </w:r>
          </w:p>
        </w:tc>
        <w:tc>
          <w:tcPr>
            <w:tcW w:w="0" w:type="dxa"/>
            <w:vAlign w:val="bottom"/>
          </w:tcPr>
          <w:p>
            <w:pPr>
              <w:spacing w:after="0"/>
              <w:rPr>
                <w:sz w:val="1"/>
                <w:szCs w:val="1"/>
                <w:color w:val="auto"/>
              </w:rPr>
            </w:pPr>
          </w:p>
        </w:tc>
      </w:tr>
      <w:tr>
        <w:trPr>
          <w:trHeight w:val="164"/>
        </w:trPr>
        <w:tc>
          <w:tcPr>
            <w:tcW w:w="4500" w:type="dxa"/>
            <w:vAlign w:val="bottom"/>
          </w:tcPr>
          <w:p>
            <w:pPr>
              <w:ind w:left="20"/>
              <w:spacing w:after="0" w:line="164" w:lineRule="exact"/>
              <w:rPr>
                <w:sz w:val="20"/>
                <w:szCs w:val="20"/>
                <w:color w:val="auto"/>
              </w:rPr>
            </w:pPr>
            <w:r>
              <w:rPr>
                <w:rFonts w:ascii="Times New Roman" w:cs="Times New Roman" w:eastAsia="Times New Roman" w:hAnsi="Times New Roman"/>
                <w:sz w:val="18"/>
                <w:szCs w:val="18"/>
                <w:color w:val="auto"/>
              </w:rPr>
              <w:t>Weighted-average shares used in computing non-GAAP net</w:t>
            </w:r>
          </w:p>
        </w:tc>
        <w:tc>
          <w:tcPr>
            <w:tcW w:w="38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5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profit (loss) per share attributable to Class A and B</w:t>
            </w: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168,798,761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161,952,440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166,598,745</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160,998,135</w:t>
            </w:r>
          </w:p>
        </w:tc>
        <w:tc>
          <w:tcPr>
            <w:tcW w:w="0" w:type="dxa"/>
            <w:vAlign w:val="bottom"/>
          </w:tcPr>
          <w:p>
            <w:pPr>
              <w:spacing w:after="0"/>
              <w:rPr>
                <w:sz w:val="1"/>
                <w:szCs w:val="1"/>
                <w:color w:val="auto"/>
              </w:rPr>
            </w:pPr>
          </w:p>
        </w:tc>
      </w:tr>
      <w:tr>
        <w:trPr>
          <w:trHeight w:val="203"/>
        </w:trPr>
        <w:tc>
          <w:tcPr>
            <w:tcW w:w="450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ordinary shareholders, basic and diluted</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firstLine="8"/>
        <w:spacing w:after="0" w:line="242" w:lineRule="auto"/>
        <w:tabs>
          <w:tab w:leader="none" w:pos="181"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Weighted-average shares used in computing non-GAAP net profit (loss) per share reflect the Class A and B ordinary shares issued in connection with the IPO that are outstanding as of the end of the period as if they were outstanding as of the beginning of the earliest period presented for comparability.</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20"/>
      </w:cols>
      <w:pgMar w:left="320" w:top="115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2022-11-09T05:59:41Z</dcterms:created>
  <dcterms:modified xsi:type="dcterms:W3CDTF">2022-11-09T05:59:41Z</dcterms:modified>
</cp:coreProperties>
</file>