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665031.xml.htm"/>
      <w:bookmarkStart w:id="1" w:name="kswkform4_17846650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Shachar Erez</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RISKIFIED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 5TH AVENUE, 2ND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RISKIFIED LTD.</w:t>
              </w:r>
            </w:hyperlink>
            <w:r>
              <w:rPr/>
              <w:t xml:space="preserve"> [ </w:t>
            </w:r>
            <w:r>
              <w:rPr>
                <w:rFonts w:ascii="Times;serif" w:hAnsi="Times;serif"/>
                <w:color w:val="0000FF"/>
                <w:sz w:val="24"/>
                <w:shd w:fill="FFFFFF" w:val="clear"/>
              </w:rPr>
              <w:t>RSKD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51"/>
        <w:gridCol w:w="928"/>
        <w:gridCol w:w="799"/>
        <w:gridCol w:w="616"/>
        <w:gridCol w:w="336"/>
        <w:gridCol w:w="897"/>
        <w:gridCol w:w="402"/>
        <w:gridCol w:w="902"/>
        <w:gridCol w:w="1233"/>
        <w:gridCol w:w="947"/>
        <w:gridCol w:w="139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9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07/16/2026</w:t>
            </w:r>
            <w:r>
              <w:rPr>
                <w:rFonts w:ascii="Times;serif" w:hAnsi="Times;serif"/>
                <w:color w:val="008000"/>
                <w:position w:val="7"/>
                <w:sz w:val="16"/>
                <w:sz w:val="20"/>
                <w:shd w:fill="FFFFFF" w:val="clear"/>
              </w:rPr>
              <w:t>(1)</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78,800</w:t>
            </w:r>
          </w:p>
        </w:tc>
        <w:tc>
          <w:tcPr>
            <w:tcW w:w="4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5.112</w:t>
            </w:r>
            <w:r>
              <w:rPr>
                <w:rFonts w:ascii="Times;serif" w:hAnsi="Times;serif"/>
                <w:color w:val="008000"/>
                <w:position w:val="7"/>
                <w:sz w:val="16"/>
                <w:sz w:val="20"/>
                <w:shd w:fill="FFFFFF" w:val="clear"/>
              </w:rPr>
              <w:t>(2)</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1,209,890</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p>
        </w:tc>
        <w:tc>
          <w:tcPr>
            <w:tcW w:w="13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Qumra Capital I L.P. and Qumra Capital I Continuation Fund L.P.</w:t>
            </w:r>
          </w:p>
        </w:tc>
      </w:tr>
      <w:tr>
        <w:trPr/>
        <w:tc>
          <w:tcPr>
            <w:tcW w:w="17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07/17/2026</w:t>
            </w:r>
            <w:r>
              <w:rPr>
                <w:rFonts w:ascii="Times;serif" w:hAnsi="Times;serif"/>
                <w:color w:val="008000"/>
                <w:position w:val="7"/>
                <w:sz w:val="16"/>
                <w:sz w:val="20"/>
                <w:shd w:fill="FFFFFF" w:val="clear"/>
              </w:rPr>
              <w:t>(1)</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7,909</w:t>
            </w:r>
          </w:p>
        </w:tc>
        <w:tc>
          <w:tcPr>
            <w:tcW w:w="4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5.1888</w:t>
            </w:r>
            <w:r>
              <w:rPr>
                <w:rFonts w:ascii="Times;serif" w:hAnsi="Times;serif"/>
                <w:color w:val="008000"/>
                <w:position w:val="7"/>
                <w:sz w:val="16"/>
                <w:sz w:val="20"/>
                <w:shd w:fill="FFFFFF" w:val="clear"/>
              </w:rPr>
              <w:t>(4)</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1,201,981</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p>
        </w:tc>
        <w:tc>
          <w:tcPr>
            <w:tcW w:w="13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Qumra Capital I L.P. and Qumra Capital I Continuation Fund L.P.</w:t>
            </w:r>
          </w:p>
        </w:tc>
      </w:tr>
      <w:tr>
        <w:trPr/>
        <w:tc>
          <w:tcPr>
            <w:tcW w:w="17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80,053</w:t>
            </w:r>
            <w:r>
              <w:rPr>
                <w:rFonts w:ascii="Times;serif" w:hAnsi="Times;serif"/>
                <w:color w:val="008000"/>
                <w:position w:val="7"/>
                <w:sz w:val="16"/>
                <w:sz w:val="20"/>
                <w:shd w:fill="FFFFFF" w:val="clear"/>
              </w:rPr>
              <w:t>(5)</w:t>
            </w:r>
          </w:p>
        </w:tc>
        <w:tc>
          <w:tcPr>
            <w:tcW w:w="9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Qumra Capital I L.P. and Qumra Capital I Continuation Fund L.P (together, "Qumra Capital") on March 16,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Class A Ordinary Shares were sold in multiple transactions at prices ranging from $5.05 to $5.18. The Reporting Person undertakes to provide to the issuer, any security holder of the issuer, or the SEC staff, upon request, full information regarding the number of Class A Ordinary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Class A Ordinary Shares held by Qumra Capital. The Reporting Person is a Managing Partner of Qumra Capital. The Reporting Person disclaims beneficial ownership of the Class A Ordinary Shares held by Qumra Capital, except to the extent of his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These Class A Ordinary Shares were sold in multiple transactions at prices ranging from $5.08 to $5.26. The Reporting Person undertakes to provide to the issuer, any security holder of the issuer, or the SEC staff, upon request, full information regarding the number of Class A Ordinary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Class A Ordinary Shares and outstanding restricted stock units (RSUs) held by the Reporting Person. Each RSU represents the right to receive one Class A Ordinary shares upon vesting and settlement. The Reporting Person is a Managing Partner of Qumra Capital. The Class A Shares and RSUs held by the Reporting Person are held by him solely for the benefit of Qumra Capital. As such, the Reporting Person disclaims beneficial ownership of the RSUs (including the Class A Ordinary Shares underlying the RSUs) and the Class A Ordinary Shares, except to the extent of his pecuniary interest, if any,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Treichel, as attorney-in-fact for Erez Shachar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01099" TargetMode="External"/><Relationship Id="rId5" Type="http://schemas.openxmlformats.org/officeDocument/2006/relationships/hyperlink" Target="http://www.sec.gov/cgi-bin/browse-edgar?action=getcompany&amp;CIK=00018511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941</Words>
  <Characters>4966</Characters>
  <CharactersWithSpaces>5820</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