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097438.xml.htm"/>
      <w:bookmarkStart w:id="1" w:name="kswkform4_17920974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Kumaraswami Ravi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RISKIFIED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 5TH AVENUE, 2ND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RISKIFIED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RSKD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Pres. Worldwide Field Ops.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7"/>
        <w:gridCol w:w="901"/>
        <w:gridCol w:w="772"/>
        <w:gridCol w:w="598"/>
        <w:gridCol w:w="342"/>
        <w:gridCol w:w="913"/>
        <w:gridCol w:w="437"/>
        <w:gridCol w:w="878"/>
        <w:gridCol w:w="1300"/>
        <w:gridCol w:w="975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8.3558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1,423,665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March 16,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is a weighted average price. These Class A Ordinary Shares were sold in multiple transactions at prices ranging from $7.83 to $8.74. The Reporting Person undertakes to provide to the issuer, any security holder of the issuer, or the SEC staff, upon request, full information regarding the number of Class A Ordinary Shares sold at each separate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Class A Ordinary Shares and outstanding restricted stock units (RSUs) held by the Reporting Person. Each RSU represents the right to receive one Class A Ordinary Share upon vesting and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Treichel, as attorney-in-fact for Ravi Kumaraswami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56098" TargetMode="External"/><Relationship Id="rId5" Type="http://schemas.openxmlformats.org/officeDocument/2006/relationships/hyperlink" Target="http://www.sec.gov/cgi-bin/browse-edgar?action=getcompany&amp;CIK=00018511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704</Words>
  <Characters>3786</Characters>
  <CharactersWithSpaces>4418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