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8340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340725"/>
                    </a:xfrm>
                    <a:prstGeom prst="rect">
                      <a:avLst/>
                    </a:prstGeom>
                    <a:noFill/>
                  </pic:spPr>
                </pic:pic>
              </a:graphicData>
            </a:graphic>
          </wp:anchor>
        </w:drawing>
      </w:r>
    </w:p>
    <w:p>
      <w:pPr>
        <w:spacing w:after="0" w:line="1024" w:lineRule="exact"/>
        <w:rPr>
          <w:sz w:val="24"/>
          <w:szCs w:val="24"/>
          <w:color w:val="auto"/>
        </w:rPr>
      </w:pPr>
    </w:p>
    <w:p>
      <w:pPr>
        <w:sectPr>
          <w:pgSz w:w="11900" w:h="16854" w:orient="portrait"/>
          <w:cols w:equalWidth="0" w:num="2">
            <w:col w:w="2300" w:space="38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Shachar Erez</w:t>
              </w:r>
            </w:hyperlink>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8"/>
          </w:tcPr>
          <w:p>
            <w:pPr>
              <w:ind w:left="60"/>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RISKIFIED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RSKD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color w:val="auto"/>
              </w:rPr>
              <w:t>Director</w:t>
            </w:r>
          </w:p>
        </w:tc>
        <w:tc>
          <w:tcPr>
            <w:tcW w:w="720" w:type="dxa"/>
            <w:vAlign w:val="bottom"/>
          </w:tcPr>
          <w:p>
            <w:pPr>
              <w:spacing w:after="0"/>
              <w:rPr>
                <w:sz w:val="4"/>
                <w:szCs w:val="4"/>
                <w:color w:val="auto"/>
              </w:rPr>
            </w:pPr>
          </w:p>
        </w:tc>
        <w:tc>
          <w:tcPr>
            <w:tcW w:w="1640" w:type="dxa"/>
            <w:vAlign w:val="bottom"/>
            <w:gridSpan w:val="6"/>
            <w:vMerge w:val="restart"/>
          </w:tcPr>
          <w:p>
            <w:pPr>
              <w:ind w:left="4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2"/>
                <w:szCs w:val="12"/>
                <w:color w:val="auto"/>
              </w:rPr>
              <w:t>Officer (give title</w:t>
            </w:r>
          </w:p>
        </w:tc>
        <w:tc>
          <w:tcPr>
            <w:tcW w:w="1640" w:type="dxa"/>
            <w:vAlign w:val="bottom"/>
            <w:gridSpan w:val="6"/>
            <w:vMerge w:val="restart"/>
          </w:tcPr>
          <w:p>
            <w:pPr>
              <w:ind w:left="4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4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color w:val="auto"/>
              </w:rPr>
              <w:t>below)</w:t>
            </w:r>
          </w:p>
        </w:tc>
        <w:tc>
          <w:tcPr>
            <w:tcW w:w="720" w:type="dxa"/>
            <w:vAlign w:val="bottom"/>
          </w:tcPr>
          <w:p>
            <w:pPr>
              <w:spacing w:after="0"/>
              <w:rPr>
                <w:sz w:val="3"/>
                <w:szCs w:val="3"/>
                <w:color w:val="auto"/>
              </w:rPr>
            </w:pPr>
          </w:p>
        </w:tc>
        <w:tc>
          <w:tcPr>
            <w:tcW w:w="860" w:type="dxa"/>
            <w:vAlign w:val="bottom"/>
            <w:gridSpan w:val="2"/>
            <w:vMerge w:val="restart"/>
          </w:tcPr>
          <w:p>
            <w:pPr>
              <w:ind w:left="400"/>
              <w:spacing w:after="0"/>
              <w:rPr>
                <w:sz w:val="20"/>
                <w:szCs w:val="20"/>
                <w:color w:val="auto"/>
              </w:rPr>
            </w:pPr>
            <w:r>
              <w:rPr>
                <w:rFonts w:ascii="Arial" w:cs="Arial" w:eastAsia="Arial" w:hAnsi="Arial"/>
                <w:sz w:val="12"/>
                <w:szCs w:val="12"/>
                <w:color w:val="auto"/>
              </w:rPr>
              <w:t>below)</w:t>
            </w: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gridSpan w:val="8"/>
            <w:vMerge w:val="continue"/>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RISKIFIED LTD.</w:t>
            </w:r>
          </w:p>
        </w:tc>
        <w:tc>
          <w:tcPr>
            <w:tcW w:w="1020" w:type="dxa"/>
            <w:vAlign w:val="bottom"/>
          </w:tcPr>
          <w:p>
            <w:pPr>
              <w:spacing w:after="0"/>
              <w:rPr>
                <w:sz w:val="20"/>
                <w:szCs w:val="20"/>
                <w:color w:val="auto"/>
              </w:rPr>
            </w:pPr>
          </w:p>
        </w:tc>
        <w:tc>
          <w:tcPr>
            <w:tcW w:w="1600" w:type="dxa"/>
            <w:vAlign w:val="bottom"/>
            <w:gridSpan w:val="6"/>
          </w:tcPr>
          <w:p>
            <w:pPr>
              <w:ind w:left="380"/>
              <w:spacing w:after="0"/>
              <w:rPr>
                <w:sz w:val="20"/>
                <w:szCs w:val="20"/>
                <w:color w:val="auto"/>
              </w:rPr>
            </w:pPr>
            <w:r>
              <w:rPr>
                <w:rFonts w:ascii="Times New Roman" w:cs="Times New Roman" w:eastAsia="Times New Roman" w:hAnsi="Times New Roman"/>
                <w:sz w:val="16"/>
                <w:szCs w:val="16"/>
                <w:color w:val="0000FF"/>
              </w:rPr>
              <w:t>05/21/2026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220 5TH AVENUE, 2ND FLOOR</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2"/>
                <w:szCs w:val="2"/>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9"/>
            <w:vMerge w:val="continue"/>
          </w:tcPr>
          <w:p>
            <w:pPr>
              <w:spacing w:after="0"/>
              <w:rPr>
                <w:sz w:val="13"/>
                <w:szCs w:val="13"/>
                <w:color w:val="auto"/>
              </w:rPr>
            </w:pPr>
          </w:p>
        </w:tc>
        <w:tc>
          <w:tcPr>
            <w:tcW w:w="48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10001</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gridSpan w:val="2"/>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0" w:type="dxa"/>
            <w:vAlign w:val="bottom"/>
            <w:gridSpan w:val="5"/>
          </w:tcPr>
          <w:p>
            <w:pPr>
              <w:ind w:left="5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580" w:type="dxa"/>
            <w:vAlign w:val="bottom"/>
          </w:tcPr>
          <w:p>
            <w:pPr>
              <w:spacing w:after="0"/>
              <w:rPr>
                <w:sz w:val="14"/>
                <w:szCs w:val="14"/>
                <w:color w:val="auto"/>
              </w:rPr>
            </w:pP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580"/>
              <w:spacing w:after="0" w:line="124"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gridSpan w:val="5"/>
          </w:tcPr>
          <w:p>
            <w:pPr>
              <w:ind w:left="58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gridSpan w:val="5"/>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4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Qumra</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Capital 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6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6"/>
                <w:szCs w:val="16"/>
                <w:color w:val="0000FF"/>
              </w:rPr>
              <w:t>05/21/2026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1,000,000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A</w:t>
            </w:r>
          </w:p>
        </w:tc>
        <w:tc>
          <w:tcPr>
            <w:tcW w:w="480" w:type="dxa"/>
            <w:vAlign w:val="bottom"/>
            <w:vMerge w:val="restart"/>
          </w:tcPr>
          <w:p>
            <w:pPr>
              <w:jc w:val="center"/>
              <w:ind w:left="215"/>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7"/>
                <w:szCs w:val="17"/>
                <w:color w:val="auto"/>
              </w:rPr>
            </w:pPr>
          </w:p>
        </w:tc>
        <w:tc>
          <w:tcPr>
            <w:tcW w:w="1460" w:type="dxa"/>
            <w:vAlign w:val="bottom"/>
            <w:gridSpan w:val="3"/>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rPr>
              <w:t>5,264,089</w:t>
            </w:r>
          </w:p>
        </w:tc>
        <w:tc>
          <w:tcPr>
            <w:tcW w:w="600" w:type="dxa"/>
            <w:vAlign w:val="bottom"/>
            <w:vMerge w:val="restart"/>
          </w:tcPr>
          <w:p>
            <w:pPr>
              <w:jc w:val="center"/>
              <w:ind w:right="322"/>
              <w:spacing w:after="0" w:line="361" w:lineRule="exact"/>
              <w:rPr>
                <w:sz w:val="20"/>
                <w:szCs w:val="20"/>
                <w:color w:val="auto"/>
              </w:rPr>
            </w:pPr>
            <w:r>
              <w:rPr>
                <w:rFonts w:ascii="Times New Roman" w:cs="Times New Roman" w:eastAsia="Times New Roman" w:hAnsi="Times New Roman"/>
                <w:sz w:val="32"/>
                <w:szCs w:val="32"/>
                <w:color w:val="0000FF"/>
                <w:w w:val="95"/>
                <w:vertAlign w:val="subscript"/>
              </w:rPr>
              <w:t>I</w:t>
            </w:r>
            <w:r>
              <w:rPr>
                <w:rFonts w:ascii="Times New Roman" w:cs="Times New Roman" w:eastAsia="Times New Roman" w:hAnsi="Times New Roman"/>
                <w:sz w:val="10"/>
                <w:szCs w:val="10"/>
                <w:color w:val="008000"/>
                <w:w w:val="95"/>
              </w:rPr>
              <w:t>(3)</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L.P.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Qumra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Capital 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Continuation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Qumra</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Capital 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6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6"/>
                <w:szCs w:val="16"/>
                <w:color w:val="0000FF"/>
              </w:rPr>
              <w:t>05/21/2026</w:t>
            </w:r>
          </w:p>
        </w:tc>
        <w:tc>
          <w:tcPr>
            <w:tcW w:w="120" w:type="dxa"/>
            <w:vAlign w:val="bottom"/>
          </w:tcPr>
          <w:p>
            <w:pPr>
              <w:spacing w:after="0"/>
              <w:rPr>
                <w:sz w:val="17"/>
                <w:szCs w:val="17"/>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05/21/2026</w:t>
            </w:r>
          </w:p>
        </w:tc>
        <w:tc>
          <w:tcPr>
            <w:tcW w:w="40" w:type="dxa"/>
            <w:vAlign w:val="bottom"/>
          </w:tcPr>
          <w:p>
            <w:pPr>
              <w:spacing w:after="0"/>
              <w:rPr>
                <w:sz w:val="17"/>
                <w:szCs w:val="17"/>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44,677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4.808</w:t>
            </w:r>
            <w:r>
              <w:rPr>
                <w:rFonts w:ascii="Times New Roman" w:cs="Times New Roman" w:eastAsia="Times New Roman" w:hAnsi="Times New Roman"/>
                <w:sz w:val="20"/>
                <w:szCs w:val="20"/>
                <w:color w:val="008000"/>
                <w:w w:val="92"/>
                <w:vertAlign w:val="superscript"/>
              </w:rPr>
              <w:t>(4)</w:t>
            </w:r>
          </w:p>
        </w:tc>
        <w:tc>
          <w:tcPr>
            <w:tcW w:w="1460" w:type="dxa"/>
            <w:vAlign w:val="bottom"/>
            <w:gridSpan w:val="3"/>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rPr>
              <w:t>5,219,412</w:t>
            </w:r>
          </w:p>
        </w:tc>
        <w:tc>
          <w:tcPr>
            <w:tcW w:w="600" w:type="dxa"/>
            <w:vAlign w:val="bottom"/>
            <w:vMerge w:val="restart"/>
          </w:tcPr>
          <w:p>
            <w:pPr>
              <w:jc w:val="center"/>
              <w:ind w:right="322"/>
              <w:spacing w:after="0" w:line="361" w:lineRule="exact"/>
              <w:rPr>
                <w:sz w:val="20"/>
                <w:szCs w:val="20"/>
                <w:color w:val="auto"/>
              </w:rPr>
            </w:pPr>
            <w:r>
              <w:rPr>
                <w:rFonts w:ascii="Times New Roman" w:cs="Times New Roman" w:eastAsia="Times New Roman" w:hAnsi="Times New Roman"/>
                <w:sz w:val="32"/>
                <w:szCs w:val="32"/>
                <w:color w:val="0000FF"/>
                <w:w w:val="95"/>
                <w:vertAlign w:val="subscript"/>
              </w:rPr>
              <w:t>I</w:t>
            </w:r>
            <w:r>
              <w:rPr>
                <w:rFonts w:ascii="Times New Roman" w:cs="Times New Roman" w:eastAsia="Times New Roman" w:hAnsi="Times New Roman"/>
                <w:sz w:val="10"/>
                <w:szCs w:val="10"/>
                <w:color w:val="008000"/>
                <w:w w:val="95"/>
              </w:rPr>
              <w:t>(3)</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L.P.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Qumra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Capital 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Continuation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Qumra</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Capital 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6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6"/>
                <w:szCs w:val="16"/>
                <w:color w:val="0000FF"/>
              </w:rPr>
              <w:t>05/22/2026</w:t>
            </w:r>
          </w:p>
        </w:tc>
        <w:tc>
          <w:tcPr>
            <w:tcW w:w="120" w:type="dxa"/>
            <w:vAlign w:val="bottom"/>
          </w:tcPr>
          <w:p>
            <w:pPr>
              <w:spacing w:after="0"/>
              <w:rPr>
                <w:sz w:val="17"/>
                <w:szCs w:val="17"/>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05/22/2026</w:t>
            </w:r>
          </w:p>
        </w:tc>
        <w:tc>
          <w:tcPr>
            <w:tcW w:w="40" w:type="dxa"/>
            <w:vAlign w:val="bottom"/>
          </w:tcPr>
          <w:p>
            <w:pPr>
              <w:spacing w:after="0"/>
              <w:rPr>
                <w:sz w:val="17"/>
                <w:szCs w:val="17"/>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60,797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4.8149</w:t>
            </w:r>
            <w:r>
              <w:rPr>
                <w:rFonts w:ascii="Times New Roman" w:cs="Times New Roman" w:eastAsia="Times New Roman" w:hAnsi="Times New Roman"/>
                <w:sz w:val="20"/>
                <w:szCs w:val="20"/>
                <w:color w:val="008000"/>
                <w:w w:val="93"/>
                <w:vertAlign w:val="superscript"/>
              </w:rPr>
              <w:t>(5)</w:t>
            </w:r>
          </w:p>
        </w:tc>
        <w:tc>
          <w:tcPr>
            <w:tcW w:w="1460" w:type="dxa"/>
            <w:vAlign w:val="bottom"/>
            <w:gridSpan w:val="3"/>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rPr>
              <w:t>5,158,615</w:t>
            </w:r>
          </w:p>
        </w:tc>
        <w:tc>
          <w:tcPr>
            <w:tcW w:w="600" w:type="dxa"/>
            <w:vAlign w:val="bottom"/>
            <w:vMerge w:val="restart"/>
          </w:tcPr>
          <w:p>
            <w:pPr>
              <w:jc w:val="center"/>
              <w:ind w:right="322"/>
              <w:spacing w:after="0" w:line="361" w:lineRule="exact"/>
              <w:rPr>
                <w:sz w:val="20"/>
                <w:szCs w:val="20"/>
                <w:color w:val="auto"/>
              </w:rPr>
            </w:pPr>
            <w:r>
              <w:rPr>
                <w:rFonts w:ascii="Times New Roman" w:cs="Times New Roman" w:eastAsia="Times New Roman" w:hAnsi="Times New Roman"/>
                <w:sz w:val="32"/>
                <w:szCs w:val="32"/>
                <w:color w:val="0000FF"/>
                <w:w w:val="95"/>
                <w:vertAlign w:val="subscript"/>
              </w:rPr>
              <w:t>I</w:t>
            </w:r>
            <w:r>
              <w:rPr>
                <w:rFonts w:ascii="Times New Roman" w:cs="Times New Roman" w:eastAsia="Times New Roman" w:hAnsi="Times New Roman"/>
                <w:sz w:val="10"/>
                <w:szCs w:val="10"/>
                <w:color w:val="008000"/>
                <w:w w:val="95"/>
              </w:rPr>
              <w:t>(3)</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L.P.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Qumra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Capital 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Continuation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0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jc w:val="center"/>
              <w:ind w:right="304"/>
              <w:spacing w:after="0"/>
              <w:rPr>
                <w:sz w:val="20"/>
                <w:szCs w:val="20"/>
                <w:color w:val="auto"/>
              </w:rPr>
            </w:pPr>
            <w:r>
              <w:rPr>
                <w:rFonts w:ascii="Times New Roman" w:cs="Times New Roman" w:eastAsia="Times New Roman" w:hAnsi="Times New Roman"/>
                <w:sz w:val="16"/>
                <w:szCs w:val="16"/>
                <w:color w:val="0000FF"/>
                <w:w w:val="97"/>
              </w:rPr>
              <w:t>80,053</w:t>
            </w:r>
            <w:r>
              <w:rPr>
                <w:rFonts w:ascii="Times New Roman" w:cs="Times New Roman" w:eastAsia="Times New Roman" w:hAnsi="Times New Roman"/>
                <w:sz w:val="20"/>
                <w:szCs w:val="20"/>
                <w:color w:val="008000"/>
                <w:w w:val="97"/>
                <w:vertAlign w:val="superscript"/>
              </w:rPr>
              <w:t>(6)</w:t>
            </w:r>
          </w:p>
        </w:tc>
        <w:tc>
          <w:tcPr>
            <w:tcW w:w="600" w:type="dxa"/>
            <w:vAlign w:val="bottom"/>
            <w:tcBorders>
              <w:bottom w:val="single" w:sz="8" w:color="2C2C2C"/>
            </w:tcBorders>
          </w:tcPr>
          <w:p>
            <w:pPr>
              <w:jc w:val="center"/>
              <w:ind w:right="342"/>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94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Acquired (A)</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or Disposed of</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 (Instr. 3, 4</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and 5)</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3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color w:val="0000FF"/>
              </w:rPr>
              <w:t>Qumra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620" w:type="dxa"/>
            <w:vAlign w:val="bottom"/>
            <w:gridSpan w:val="2"/>
            <w:vMerge w:val="restart"/>
          </w:tcPr>
          <w:p>
            <w:pPr>
              <w:ind w:left="260"/>
              <w:spacing w:after="0" w:line="274"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gridSpan w:val="4"/>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1,000,000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restart"/>
          </w:tcPr>
          <w:p>
            <w:pPr>
              <w:ind w:left="400"/>
              <w:spacing w:after="0" w:line="274"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(7)</w:t>
            </w:r>
          </w:p>
        </w:tc>
        <w:tc>
          <w:tcPr>
            <w:tcW w:w="260" w:type="dxa"/>
            <w:vAlign w:val="bottom"/>
          </w:tcPr>
          <w:p>
            <w:pPr>
              <w:spacing w:after="0"/>
              <w:rPr>
                <w:sz w:val="11"/>
                <w:szCs w:val="11"/>
                <w:color w:val="auto"/>
              </w:rPr>
            </w:pPr>
          </w:p>
        </w:tc>
        <w:tc>
          <w:tcPr>
            <w:tcW w:w="78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color w:val="0000FF"/>
              </w:rPr>
              <w:t>Capital I L.P.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05/21/2026</w:t>
            </w:r>
          </w:p>
        </w:tc>
        <w:tc>
          <w:tcPr>
            <w:tcW w:w="102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0000FF"/>
                <w:w w:val="99"/>
              </w:rPr>
              <w:t>1,000,000</w:t>
            </w:r>
          </w:p>
        </w:tc>
        <w:tc>
          <w:tcPr>
            <w:tcW w:w="7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80" w:type="dxa"/>
            <w:vAlign w:val="bottom"/>
            <w:gridSpan w:val="2"/>
            <w:vMerge w:val="continue"/>
          </w:tcPr>
          <w:p>
            <w:pPr>
              <w:spacing w:after="0"/>
              <w:rPr>
                <w:sz w:val="11"/>
                <w:szCs w:val="11"/>
                <w:color w:val="auto"/>
              </w:rPr>
            </w:pPr>
          </w:p>
        </w:tc>
        <w:tc>
          <w:tcPr>
            <w:tcW w:w="740" w:type="dxa"/>
            <w:vAlign w:val="bottom"/>
            <w:gridSpan w:val="2"/>
          </w:tcPr>
          <w:p>
            <w:pPr>
              <w:jc w:val="right"/>
              <w:ind w:right="2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4,359,974</w:t>
            </w: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and Qumra</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Shares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Capital I</w:t>
            </w:r>
          </w:p>
        </w:tc>
        <w:tc>
          <w:tcPr>
            <w:tcW w:w="0" w:type="dxa"/>
            <w:vAlign w:val="bottom"/>
          </w:tcPr>
          <w:p>
            <w:pPr>
              <w:spacing w:after="0"/>
              <w:rPr>
                <w:sz w:val="1"/>
                <w:szCs w:val="1"/>
                <w:color w:val="auto"/>
              </w:rPr>
            </w:pPr>
          </w:p>
        </w:tc>
      </w:tr>
    </w:tbl>
    <w:p>
      <w:pPr>
        <w:ind w:left="10340"/>
        <w:spacing w:after="0" w:line="237" w:lineRule="auto"/>
        <w:rPr>
          <w:sz w:val="20"/>
          <w:szCs w:val="20"/>
          <w:color w:val="auto"/>
        </w:rPr>
      </w:pPr>
      <w:r>
        <w:rPr>
          <w:rFonts w:ascii="Times New Roman" w:cs="Times New Roman" w:eastAsia="Times New Roman" w:hAnsi="Times New Roman"/>
          <w:sz w:val="12"/>
          <w:szCs w:val="12"/>
          <w:color w:val="0000FF"/>
        </w:rPr>
        <w:t>Continuation</w:t>
      </w:r>
    </w:p>
    <w:p>
      <w:pPr>
        <w:spacing w:after="0" w:line="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2"/>
          <w:szCs w:val="12"/>
          <w:color w:val="0000FF"/>
        </w:rPr>
        <w:t>Fund L.P.</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conversion of Class B Ordinary Shares into Class A Ordinary Shares.</w:t>
      </w:r>
    </w:p>
    <w:p>
      <w:pPr>
        <w:spacing w:after="0" w:line="48"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Class B Ordinary Share is convertible at any time at the option of the holder into one Class A Ordinary Share and has no expiration date. In addition, each Class B Ordinary Share will convert automatically into one Class A Ordinary Share upon the sale or transfer of such Class B Ordinary Share, subject to certain exceptions, and in certain other circumstances described in the Issuer's Amended and Restated Articles of</w:t>
      </w:r>
    </w:p>
    <w:p>
      <w:pPr>
        <w:sectPr>
          <w:pgSz w:w="11900" w:h="16854"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Association.</w:t>
      </w:r>
    </w:p>
    <w:p>
      <w:pPr>
        <w:spacing w:after="0" w:line="49" w:lineRule="exact"/>
        <w:rPr>
          <w:sz w:val="20"/>
          <w:szCs w:val="20"/>
          <w:color w:val="auto"/>
        </w:rPr>
      </w:pPr>
    </w:p>
    <w:p>
      <w:pPr>
        <w:ind w:left="3" w:right="380" w:hanging="3"/>
        <w:spacing w:after="0" w:line="28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p>
      <w:pPr>
        <w:ind w:left="3" w:right="80" w:hanging="3"/>
        <w:spacing w:after="0" w:line="28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Class A Ordinary Shares were sold in multiple transactions at prices ranging from $4.80 to $4.84. The Reporting Person undertakes to provide to the issuer, any security holder of the issuer, or the SEC staff, upon request, full information regarding the number of Class A Ordinary Shares sold at each separate price within the range set forth in this footnote.</w:t>
      </w:r>
    </w:p>
    <w:p>
      <w:pPr>
        <w:ind w:left="3" w:right="80" w:hanging="3"/>
        <w:spacing w:after="0" w:line="28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Class A Ordinary Shares were sold in multiple transactions at prices ranging from $4.80 to $4.86. The Reporting Person undertakes to provide to the issuer, any security holder of the issuer, or the SEC staff, upon request, full information regarding the number of Class A Ordinary Shares sold at each separate price within the range set forth in this footnote.</w:t>
      </w:r>
    </w:p>
    <w:p>
      <w:pPr>
        <w:jc w:val="both"/>
        <w:ind w:left="3" w:right="60" w:hanging="3"/>
        <w:spacing w:after="0" w:line="25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p>
      <w:pPr>
        <w:spacing w:after="0" w:line="13" w:lineRule="exact"/>
        <w:rPr>
          <w:rFonts w:ascii="Times New Roman" w:cs="Times New Roman" w:eastAsia="Times New Roman" w:hAnsi="Times New Roman"/>
          <w:sz w:val="12"/>
          <w:szCs w:val="12"/>
          <w:color w:val="008000"/>
        </w:rPr>
      </w:pPr>
    </w:p>
    <w:p>
      <w:pPr>
        <w:ind w:left="3" w:hanging="3"/>
        <w:spacing w:after="0" w:line="28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Class B Ordinary Shares held by Qumra Capital. The Reporting Person disclaims beneficial ownership of the Class B Ordinary Shares held by Qumra Capital, except to the extent of his pecuniary interest, if any, therein.</w:t>
      </w:r>
    </w:p>
    <w:p>
      <w:pPr>
        <w:sectPr>
          <w:pgSz w:w="11900" w:h="16838" w:orient="portrait"/>
          <w:cols w:equalWidth="0" w:num="1">
            <w:col w:w="10863"/>
          </w:cols>
          <w:pgMar w:left="497" w:top="127" w:right="539" w:bottom="1440" w:gutter="0" w:footer="0" w:header="0"/>
        </w:sect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5"/>
          <w:szCs w:val="15"/>
          <w:color w:val="0000FF"/>
        </w:rPr>
        <w:t>/s/ Eric Treichel,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wp:posOffset>
            </wp:positionV>
            <wp:extent cx="1304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4925"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fact for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8693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931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4673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03" w:space="160"/>
            <w:col w:w="2100"/>
          </w:cols>
          <w:pgMar w:left="497" w:top="127" w:right="53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1099" TargetMode="External"/><Relationship Id="rId14" Type="http://schemas.openxmlformats.org/officeDocument/2006/relationships/hyperlink" Target="http://www.sec.gov/cgi-bin/browse-edgar?action=getcompany&amp;CIK=0001851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2026-05-26T16:04:50Z</dcterms:created>
  <dcterms:modified xsi:type="dcterms:W3CDTF">2026-05-26T16:04:50Z</dcterms:modified>
</cp:coreProperties>
</file>