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9589367.xml.htm"/>
      <w:bookmarkStart w:id="1" w:name="kswkform4_178958936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Kumaraswami Ravi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RISKIFIED LTD.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220 5TH AVENUE, 2ND FLOOR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NEW YORK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RISKIFIED LTD.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RSKD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Pres. Worldwide Field Ops.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29"/>
        <w:gridCol w:w="902"/>
        <w:gridCol w:w="773"/>
        <w:gridCol w:w="599"/>
        <w:gridCol w:w="344"/>
        <w:gridCol w:w="919"/>
        <w:gridCol w:w="442"/>
        <w:gridCol w:w="792"/>
        <w:gridCol w:w="1307"/>
        <w:gridCol w:w="982"/>
        <w:gridCol w:w="91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2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5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3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1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2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3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2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Ordinary Shares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09/15/2026</w:t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</w:p>
        </w:tc>
        <w:tc>
          <w:tcPr>
            <w:tcW w:w="34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1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65,000</w:t>
            </w:r>
          </w:p>
        </w:tc>
        <w:tc>
          <w:tcPr>
            <w:tcW w:w="44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9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6.179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3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1,551,246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1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in this Form 4 were effected pursuant to a Rule 10b5-1 trading plan adopted by the Reporting Person on March 16,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price reported is a weighted average price. These Class A Ordinary Shares were sold in multiple transactions at prices ranging from $6.09 to $6.28. The Reporting Person undertakes to provide to the issuer, any security holder of the issuer, or the SEC staff, upon request, full information regarding the number of Class A Ordinary Shares sold at each separate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Class A Ordinary Shares and outstanding restricted stock units (RSUs) held by the Reporting Person. Each RSU represents the right to receive one Class A Ordinary Share upon vesting and settlement.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Eric Treichel, as attorney-in-fact for Ravi Kumaraswami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56098" TargetMode="External"/><Relationship Id="rId5" Type="http://schemas.openxmlformats.org/officeDocument/2006/relationships/hyperlink" Target="http://www.sec.gov/cgi-bin/browse-edgar?action=getcompany&amp;CIK=000185111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704</Words>
  <Characters>3785</Characters>
  <CharactersWithSpaces>4417</CharactersWithSpaces>
  <Paragraphs>100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