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335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33501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Shachar Erez</w:t>
              </w:r>
            </w:hyperlink>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RISKIFIED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RSKD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RISKIFIED LTD.</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220 5TH AVENUE, 2ND FLOOR</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vMerge w:val="restart"/>
          </w:tcPr>
          <w:p>
            <w:pPr>
              <w:jc w:val="center"/>
              <w:ind w:left="90"/>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Pr>
          <w:p>
            <w:pPr>
              <w:spacing w:after="0"/>
              <w:rPr>
                <w:sz w:val="18"/>
                <w:szCs w:val="18"/>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06/16/2026</w:t>
            </w: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144,459</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4.9583</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4,320,466</w:t>
            </w:r>
          </w:p>
        </w:tc>
        <w:tc>
          <w:tcPr>
            <w:tcW w:w="520" w:type="dxa"/>
            <w:vAlign w:val="bottom"/>
            <w:vMerge w:val="restart"/>
          </w:tcPr>
          <w:p>
            <w:pPr>
              <w:jc w:val="center"/>
              <w:ind w:left="239"/>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Continuation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vMerge w:val="restart"/>
          </w:tcPr>
          <w:p>
            <w:pPr>
              <w:jc w:val="center"/>
              <w:ind w:left="90"/>
              <w:spacing w:after="0"/>
              <w:rPr>
                <w:sz w:val="20"/>
                <w:szCs w:val="20"/>
                <w:color w:val="auto"/>
              </w:rPr>
            </w:pPr>
            <w:r>
              <w:rPr>
                <w:rFonts w:ascii="Times New Roman" w:cs="Times New Roman" w:eastAsia="Times New Roman" w:hAnsi="Times New Roman"/>
                <w:sz w:val="17"/>
                <w:szCs w:val="17"/>
                <w:color w:val="0000FF"/>
                <w:w w:val="97"/>
              </w:rPr>
              <w:t>06/16/2026</w:t>
            </w:r>
            <w:r>
              <w:rPr>
                <w:rFonts w:ascii="Times New Roman" w:cs="Times New Roman" w:eastAsia="Times New Roman" w:hAnsi="Times New Roman"/>
                <w:sz w:val="22"/>
                <w:szCs w:val="22"/>
                <w:color w:val="008000"/>
                <w:w w:val="97"/>
                <w:vertAlign w:val="superscript"/>
              </w:rPr>
              <w:t>(3)</w:t>
            </w:r>
          </w:p>
        </w:tc>
        <w:tc>
          <w:tcPr>
            <w:tcW w:w="40" w:type="dxa"/>
            <w:vAlign w:val="bottom"/>
          </w:tcPr>
          <w:p>
            <w:pPr>
              <w:spacing w:after="0"/>
              <w:rPr>
                <w:sz w:val="18"/>
                <w:szCs w:val="18"/>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06/16/2026</w:t>
            </w: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117,000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4.9429</w:t>
            </w:r>
            <w:r>
              <w:rPr>
                <w:rFonts w:ascii="Times New Roman" w:cs="Times New Roman" w:eastAsia="Times New Roman" w:hAnsi="Times New Roman"/>
                <w:sz w:val="22"/>
                <w:szCs w:val="22"/>
                <w:color w:val="008000"/>
                <w:w w:val="98"/>
                <w:vertAlign w:val="superscript"/>
              </w:rPr>
              <w:t>(4)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4,203,466</w:t>
            </w:r>
          </w:p>
        </w:tc>
        <w:tc>
          <w:tcPr>
            <w:tcW w:w="520" w:type="dxa"/>
            <w:vAlign w:val="bottom"/>
            <w:vMerge w:val="restart"/>
          </w:tcPr>
          <w:p>
            <w:pPr>
              <w:jc w:val="center"/>
              <w:ind w:left="239"/>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Continuation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vMerge w:val="restart"/>
          </w:tcPr>
          <w:p>
            <w:pPr>
              <w:jc w:val="center"/>
              <w:ind w:left="90"/>
              <w:spacing w:after="0"/>
              <w:rPr>
                <w:sz w:val="20"/>
                <w:szCs w:val="20"/>
                <w:color w:val="auto"/>
              </w:rPr>
            </w:pPr>
            <w:r>
              <w:rPr>
                <w:rFonts w:ascii="Times New Roman" w:cs="Times New Roman" w:eastAsia="Times New Roman" w:hAnsi="Times New Roman"/>
                <w:sz w:val="17"/>
                <w:szCs w:val="17"/>
                <w:color w:val="0000FF"/>
                <w:w w:val="97"/>
              </w:rPr>
              <w:t>06/17/2026</w:t>
            </w:r>
            <w:r>
              <w:rPr>
                <w:rFonts w:ascii="Times New Roman" w:cs="Times New Roman" w:eastAsia="Times New Roman" w:hAnsi="Times New Roman"/>
                <w:sz w:val="22"/>
                <w:szCs w:val="22"/>
                <w:color w:val="008000"/>
                <w:w w:val="97"/>
                <w:vertAlign w:val="superscript"/>
              </w:rPr>
              <w:t>(3)</w:t>
            </w:r>
          </w:p>
        </w:tc>
        <w:tc>
          <w:tcPr>
            <w:tcW w:w="40" w:type="dxa"/>
            <w:vAlign w:val="bottom"/>
          </w:tcPr>
          <w:p>
            <w:pPr>
              <w:spacing w:after="0"/>
              <w:rPr>
                <w:sz w:val="18"/>
                <w:szCs w:val="18"/>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06/17/2026</w:t>
            </w: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96,100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4.9375</w:t>
            </w:r>
            <w:r>
              <w:rPr>
                <w:rFonts w:ascii="Times New Roman" w:cs="Times New Roman" w:eastAsia="Times New Roman" w:hAnsi="Times New Roman"/>
                <w:sz w:val="22"/>
                <w:szCs w:val="22"/>
                <w:color w:val="008000"/>
                <w:w w:val="98"/>
                <w:vertAlign w:val="superscript"/>
              </w:rPr>
              <w:t>(5)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4,107,366</w:t>
            </w:r>
          </w:p>
        </w:tc>
        <w:tc>
          <w:tcPr>
            <w:tcW w:w="520" w:type="dxa"/>
            <w:vAlign w:val="bottom"/>
            <w:vMerge w:val="restart"/>
          </w:tcPr>
          <w:p>
            <w:pPr>
              <w:jc w:val="center"/>
              <w:ind w:left="239"/>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Continuation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80,053</w:t>
            </w:r>
            <w:r>
              <w:rPr>
                <w:rFonts w:ascii="Times New Roman" w:cs="Times New Roman" w:eastAsia="Times New Roman" w:hAnsi="Times New Roman"/>
                <w:sz w:val="22"/>
                <w:szCs w:val="22"/>
                <w:color w:val="008000"/>
                <w:w w:val="93"/>
                <w:vertAlign w:val="superscript"/>
              </w:rPr>
              <w:t>(6)</w:t>
            </w:r>
          </w:p>
        </w:tc>
        <w:tc>
          <w:tcPr>
            <w:tcW w:w="520" w:type="dxa"/>
            <w:vAlign w:val="bottom"/>
            <w:tcBorders>
              <w:bottom w:val="single" w:sz="8" w:color="2C2C2C"/>
            </w:tcBorders>
          </w:tcPr>
          <w:p>
            <w:pPr>
              <w:jc w:val="center"/>
              <w:ind w:left="239"/>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price reported is a weighted average price. These Class A Ordinary Shares were sold in multiple transactions at prices ranging from $4.92 to $4.99. The Reporting Person undertakes to provide to</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60"/>
        <w:spacing w:after="0" w:line="272" w:lineRule="auto"/>
        <w:rPr>
          <w:sz w:val="20"/>
          <w:szCs w:val="20"/>
          <w:color w:val="auto"/>
        </w:rPr>
      </w:pPr>
      <w:r>
        <w:rPr>
          <w:rFonts w:ascii="Times New Roman" w:cs="Times New Roman" w:eastAsia="Times New Roman" w:hAnsi="Times New Roman"/>
          <w:sz w:val="13"/>
          <w:szCs w:val="13"/>
          <w:color w:val="008000"/>
        </w:rPr>
        <w:t>the issuer, any security holder of the issuer, or the SEC staff, upon request, full information regarding the number of Class A Ordinary Shares sold at each separate price within the range set forth in this footnote.</w:t>
      </w:r>
    </w:p>
    <w:p>
      <w:pPr>
        <w:spacing w:after="0" w:line="8" w:lineRule="exact"/>
        <w:rPr>
          <w:sz w:val="20"/>
          <w:szCs w:val="20"/>
          <w:color w:val="auto"/>
        </w:rPr>
      </w:pPr>
    </w:p>
    <w:p>
      <w:pPr>
        <w:ind w:right="2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trading plan adopted by the Reporting Person on March 16, 2026.</w:t>
      </w:r>
    </w:p>
    <w:p>
      <w:pPr>
        <w:spacing w:after="0" w:line="50" w:lineRule="exact"/>
        <w:rPr>
          <w:rFonts w:ascii="Times New Roman" w:cs="Times New Roman" w:eastAsia="Times New Roman" w:hAnsi="Times New Roman"/>
          <w:sz w:val="13"/>
          <w:szCs w:val="13"/>
          <w:color w:val="008000"/>
        </w:rPr>
      </w:pPr>
    </w:p>
    <w:p>
      <w:pPr>
        <w:ind w:firstLine="7"/>
        <w:spacing w:after="0" w:line="258"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Class A Ordinary Shares were sold in multiple transactions at prices ranging from $4.88 to $4.99. The Reporting Person undertakes to provide to the issuer, any security holder of the issuer, or the SEC staff, upon request, full information regarding the number of Class A Ordinary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ind w:firstLine="7"/>
        <w:spacing w:after="0" w:line="258"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Class A Ordinary Shares were sold in multiple transactions at prices ranging from $4.88 to $5.00. The Reporting Person undertakes to provide to the issuer, any security holder of the issuer, or the SEC staff, upon request, full information regarding the number of Class A Ordinary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jc w:val="both"/>
        <w:ind w:right="2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Eric Treichel, as attorney-</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Erez Shachar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1099" TargetMode="External"/><Relationship Id="rId14" Type="http://schemas.openxmlformats.org/officeDocument/2006/relationships/hyperlink" Target="http://www.sec.gov/cgi-bin/browse-edgar?action=getcompany&amp;CIK=0001851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2026-06-18T15:30:47Z</dcterms:created>
  <dcterms:modified xsi:type="dcterms:W3CDTF">2026-06-18T15:30:47Z</dcterms:modified>
</cp:coreProperties>
</file>