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355466.xml.htm"/>
      <w:bookmarkStart w:id="1" w:name="kswkform4_17853554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8"/>
        <w:gridCol w:w="934"/>
        <w:gridCol w:w="802"/>
        <w:gridCol w:w="620"/>
        <w:gridCol w:w="341"/>
        <w:gridCol w:w="808"/>
        <w:gridCol w:w="415"/>
        <w:gridCol w:w="804"/>
        <w:gridCol w:w="1253"/>
        <w:gridCol w:w="965"/>
        <w:gridCol w:w="13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07/27/2026</w:t>
            </w:r>
            <w:r>
              <w:rPr>
                <w:rFonts w:ascii="Times;serif" w:hAnsi="Times;serif"/>
                <w:color w:val="008000"/>
                <w:position w:val="7"/>
                <w:sz w:val="16"/>
                <w:sz w:val="20"/>
                <w:shd w:fill="FFFFFF" w:val="clear"/>
              </w:rPr>
              <w:t>(1)</w:t>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5,586</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5.253</w:t>
            </w:r>
            <w:r>
              <w:rPr>
                <w:rFonts w:ascii="Times;serif" w:hAnsi="Times;serif"/>
                <w:color w:val="008000"/>
                <w:position w:val="7"/>
                <w:sz w:val="16"/>
                <w:sz w:val="20"/>
                <w:shd w:fill="FFFFFF" w:val="clear"/>
              </w:rPr>
              <w:t>(2)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1,168,795</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8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(4)</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Qumra Capital I L.P. and Qumra Capital I Continuation Fund L.P (together, "Qumra Capital")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Class A Ordinary Shares were sold in multiple transactions at prices ranging from $5.25 to $5.27.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held by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846</Words>
  <Characters>4485</Characters>
  <CharactersWithSpaces>5255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