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963930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930275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20-F</w:t>
      </w:r>
    </w:p>
    <w:p>
      <w:pPr>
        <w:spacing w:after="0" w:line="13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8" w:lineRule="exact"/>
        <w:rPr>
          <w:sz w:val="24"/>
          <w:szCs w:val="24"/>
          <w:color w:val="auto"/>
        </w:rPr>
      </w:pPr>
    </w:p>
    <w:p>
      <w:pPr>
        <w:ind w:left="5500" w:right="1260" w:hanging="5476"/>
        <w:spacing w:after="0" w:line="382" w:lineRule="auto"/>
        <w:tabs>
          <w:tab w:leader="none" w:pos="3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30" w:lineRule="exact"/>
        <w:rPr>
          <w:sz w:val="24"/>
          <w:szCs w:val="24"/>
          <w:color w:val="auto"/>
        </w:rPr>
      </w:pPr>
    </w:p>
    <w:p>
      <w:pPr>
        <w:ind w:left="360" w:hanging="33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7" w:lineRule="exact"/>
        <w:rPr>
          <w:sz w:val="24"/>
          <w:szCs w:val="24"/>
          <w:color w:val="auto"/>
        </w:rPr>
      </w:pPr>
    </w:p>
    <w:p>
      <w:pPr>
        <w:ind w:left="360" w:hanging="336"/>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7" w:lineRule="exact"/>
        <w:rPr>
          <w:sz w:val="24"/>
          <w:szCs w:val="24"/>
          <w:color w:val="auto"/>
        </w:rPr>
      </w:pPr>
    </w:p>
    <w:p>
      <w:pPr>
        <w:ind w:left="360" w:hanging="336"/>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001-40692</w:t>
      </w:r>
    </w:p>
    <w:p>
      <w:pPr>
        <w:spacing w:after="0" w:line="164"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Riskified Ltd.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144"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Not Applicable</w:t>
      </w:r>
    </w:p>
    <w:p>
      <w:pPr>
        <w:spacing w:after="0" w:line="22"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14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State of Israel</w:t>
      </w:r>
    </w:p>
    <w:p>
      <w:pPr>
        <w:spacing w:after="0" w:line="22"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(Jurisdiction of incorporation or organization)</w:t>
      </w:r>
    </w:p>
    <w:p>
      <w:pPr>
        <w:spacing w:after="0" w:line="14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Riskified Ltd.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Europe House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Sderot Sha’ul HaMelech 37</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Aviv-Yafo, 6492806 Israel</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Eido Gal</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220 5th Avenue, 2nd Floor</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Email: ir@riskified.com</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15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2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Trading Symbol(s)</w:t>
            </w: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4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1"/>
        </w:trPr>
        <w:tc>
          <w:tcPr>
            <w:tcW w:w="45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Class A ordinary shares, no par value</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RSKD</w:t>
            </w:r>
          </w:p>
        </w:tc>
        <w:tc>
          <w:tcPr>
            <w:tcW w:w="4460" w:type="dxa"/>
            <w:vAlign w:val="bottom"/>
          </w:tcPr>
          <w:p>
            <w:pPr>
              <w:jc w:val="center"/>
              <w:spacing w:after="0"/>
              <w:rPr>
                <w:sz w:val="20"/>
                <w:szCs w:val="20"/>
                <w:color w:val="auto"/>
              </w:rPr>
            </w:pPr>
            <w:r>
              <w:rPr>
                <w:rFonts w:ascii="Arial" w:cs="Arial" w:eastAsia="Arial" w:hAnsi="Arial"/>
                <w:sz w:val="18"/>
                <w:szCs w:val="18"/>
                <w:color w:val="auto"/>
                <w:w w:val="89"/>
              </w:rPr>
              <w:t>The New York Stock Exchange</w:t>
            </w:r>
          </w:p>
        </w:tc>
      </w:tr>
    </w:tbl>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w:t>
      </w: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As of December 31, 2021, the registrant had 75,909,531 Class A ordinary shares, no par value and 88,055,520 Class B ordinary shares, no par value,</w:t>
      </w:r>
    </w:p>
    <w:p>
      <w:pPr>
        <w:sectPr>
          <w:pgSz w:w="11900" w:h="16838" w:orient="portrait"/>
          <w:cols w:equalWidth="0" w:num="1">
            <w:col w:w="11220"/>
          </w:cols>
          <w:pgMar w:left="320" w:top="1440" w:right="35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outstanding.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29" w:lineRule="exact"/>
        <w:rPr>
          <w:sz w:val="20"/>
          <w:szCs w:val="20"/>
          <w:color w:val="auto"/>
        </w:rPr>
      </w:pPr>
    </w:p>
    <w:p>
      <w:pPr>
        <w:ind w:left="200" w:hanging="194"/>
        <w:spacing w:after="0" w:line="242" w:lineRule="exact"/>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6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93" w:lineRule="exact"/>
        <w:rPr>
          <w:sz w:val="20"/>
          <w:szCs w:val="20"/>
          <w:color w:val="auto"/>
        </w:rPr>
      </w:pPr>
    </w:p>
    <w:p>
      <w:pPr>
        <w:ind w:left="200" w:hanging="194"/>
        <w:spacing w:after="0" w:line="242" w:lineRule="exact"/>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6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28"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1" w:lineRule="exact"/>
        <w:rPr>
          <w:sz w:val="20"/>
          <w:szCs w:val="20"/>
          <w:color w:val="auto"/>
        </w:rPr>
      </w:pPr>
    </w:p>
    <w:p>
      <w:pPr>
        <w:ind w:left="200" w:hanging="194"/>
        <w:spacing w:after="0" w:line="242" w:lineRule="exact"/>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64" w:lineRule="exact"/>
        <w:rPr>
          <w:sz w:val="20"/>
          <w:szCs w:val="20"/>
          <w:color w:val="auto"/>
        </w:rPr>
      </w:pPr>
    </w:p>
    <w:p>
      <w:pPr>
        <w:ind w:right="320"/>
        <w:spacing w:after="0" w:line="36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4" w:lineRule="exact"/>
        <w:rPr>
          <w:sz w:val="20"/>
          <w:szCs w:val="20"/>
          <w:color w:val="auto"/>
        </w:rPr>
      </w:pPr>
    </w:p>
    <w:p>
      <w:pPr>
        <w:ind w:left="200" w:hanging="194"/>
        <w:spacing w:after="0" w:line="242" w:lineRule="exact"/>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64"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filer,"accelerated filer,” and "emerging growth company" in Rule 12b-2 of the Exchange Act.</w:t>
      </w:r>
    </w:p>
    <w:p>
      <w:pPr>
        <w:sectPr>
          <w:pgSz w:w="11900" w:h="16838" w:orient="portrait"/>
          <w:cols w:equalWidth="0" w:num="1">
            <w:col w:w="11240"/>
          </w:cols>
          <w:pgMar w:left="320" w:top="127"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117" w:lineRule="exact"/>
        <w:rPr>
          <w:sz w:val="20"/>
          <w:szCs w:val="20"/>
          <w:color w:val="auto"/>
        </w:rPr>
      </w:pPr>
    </w:p>
    <w:p>
      <w:pPr>
        <w:sectPr>
          <w:pgSz w:w="11900" w:h="16838" w:orient="portrait"/>
          <w:cols w:equalWidth="0" w:num="3">
            <w:col w:w="1600" w:space="640"/>
            <w:col w:w="5980" w:space="720"/>
            <w:col w:w="2300"/>
          </w:cols>
          <w:pgMar w:left="320" w:top="127" w:right="33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240" w:lineRule="exact"/>
        <w:rPr>
          <w:sz w:val="20"/>
          <w:szCs w:val="20"/>
          <w:color w:val="auto"/>
        </w:rPr>
      </w:pPr>
    </w:p>
    <w:p>
      <w:pPr>
        <w:sectPr>
          <w:pgSz w:w="11900" w:h="16838" w:orient="portrait"/>
          <w:cols w:equalWidth="0" w:num="3">
            <w:col w:w="1520" w:space="720"/>
            <w:col w:w="5220" w:space="720"/>
            <w:col w:w="3060"/>
          </w:cols>
          <w:pgMar w:left="320" w:top="127" w:right="339" w:bottom="1440" w:gutter="0" w:footer="0" w:header="0"/>
          <w:type w:val="continuous"/>
        </w:sectPr>
      </w:pPr>
    </w:p>
    <w:p>
      <w:pPr>
        <w:spacing w:after="0" w:line="84"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ind w:right="640" w:firstLine="6"/>
        <w:spacing w:after="0" w:line="264" w:lineRule="auto"/>
        <w:tabs>
          <w:tab w:leader="none" w:pos="1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93" w:lineRule="exact"/>
        <w:rPr>
          <w:sz w:val="20"/>
          <w:szCs w:val="20"/>
          <w:color w:val="auto"/>
        </w:rPr>
      </w:pPr>
    </w:p>
    <w:p>
      <w:pPr>
        <w:ind w:right="120"/>
        <w:spacing w:after="0" w:line="234" w:lineRule="exact"/>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w:t>
      </w:r>
      <w:r>
        <w:rPr>
          <w:rFonts w:ascii="Arial Unicode MS" w:cs="Arial Unicode MS" w:eastAsia="Arial Unicode MS" w:hAnsi="Arial Unicode MS"/>
          <w:sz w:val="18"/>
          <w:szCs w:val="18"/>
          <w:color w:val="auto"/>
        </w:rPr>
        <w:t>ﬀ</w:t>
      </w:r>
      <w:r>
        <w:rPr>
          <w:rFonts w:ascii="Arial" w:cs="Arial" w:eastAsia="Arial" w:hAnsi="Arial"/>
          <w:sz w:val="18"/>
          <w:szCs w:val="18"/>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7" w:right="339" w:bottom="1440" w:gutter="0" w:footer="0" w:header="0"/>
          <w:type w:val="continuous"/>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 GAAP</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01" w:lineRule="exact"/>
        <w:rPr>
          <w:sz w:val="20"/>
          <w:szCs w:val="20"/>
          <w:color w:val="auto"/>
        </w:rPr>
      </w:pPr>
      <w:r>
        <w:rPr>
          <w:rFonts w:ascii="Arial" w:cs="Arial" w:eastAsia="Arial" w:hAnsi="Arial"/>
          <w:sz w:val="15"/>
          <w:szCs w:val="15"/>
          <w:color w:val="auto"/>
        </w:rPr>
        <w:t xml:space="preserve">International Financial Reporting Standards as issued by the </w:t>
      </w:r>
      <w:r>
        <w:rPr>
          <w:rFonts w:ascii="Arial Unicode MS" w:cs="Arial Unicode MS" w:eastAsia="Arial Unicode MS" w:hAnsi="Arial Unicode MS"/>
          <w:sz w:val="15"/>
          <w:szCs w:val="15"/>
          <w:color w:val="auto"/>
        </w:rPr>
        <w:t>☐</w:t>
      </w:r>
    </w:p>
    <w:p>
      <w:pPr>
        <w:spacing w:after="0" w:line="6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International Accounting Standards Board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01" w:lineRule="exact"/>
        <w:rPr>
          <w:sz w:val="20"/>
          <w:szCs w:val="20"/>
          <w:color w:val="auto"/>
        </w:rPr>
      </w:pPr>
      <w:r>
        <w:rPr>
          <w:rFonts w:ascii="Arial" w:cs="Arial" w:eastAsia="Arial" w:hAnsi="Arial"/>
          <w:sz w:val="15"/>
          <w:szCs w:val="15"/>
          <w:color w:val="auto"/>
        </w:rPr>
        <w:t xml:space="preserve">Other </w:t>
      </w:r>
      <w:r>
        <w:rPr>
          <w:rFonts w:ascii="Arial Unicode MS" w:cs="Arial Unicode MS" w:eastAsia="Arial Unicode MS" w:hAnsi="Arial Unicode MS"/>
          <w:sz w:val="15"/>
          <w:szCs w:val="15"/>
          <w:color w:val="auto"/>
        </w:rPr>
        <w:t>☐</w:t>
      </w:r>
    </w:p>
    <w:p>
      <w:pPr>
        <w:spacing w:after="0" w:line="455" w:lineRule="exact"/>
        <w:rPr>
          <w:sz w:val="20"/>
          <w:szCs w:val="20"/>
          <w:color w:val="auto"/>
        </w:rPr>
      </w:pPr>
    </w:p>
    <w:p>
      <w:pPr>
        <w:sectPr>
          <w:pgSz w:w="11900" w:h="16838" w:orient="portrait"/>
          <w:cols w:equalWidth="0" w:num="4">
            <w:col w:w="860" w:space="320"/>
            <w:col w:w="1220" w:space="720"/>
            <w:col w:w="5720" w:space="720"/>
            <w:col w:w="1680"/>
          </w:cols>
          <w:pgMar w:left="320" w:top="127"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If “Other” has been checked in response to the previous question, indicate by check mark which financial statement item the registrant has elected to follow.</w:t>
      </w:r>
    </w:p>
    <w:p>
      <w:pPr>
        <w:spacing w:after="0" w:line="164" w:lineRule="exact"/>
        <w:rPr>
          <w:sz w:val="20"/>
          <w:szCs w:val="20"/>
          <w:color w:val="auto"/>
        </w:rPr>
      </w:pPr>
    </w:p>
    <w:p>
      <w:pPr>
        <w:ind w:left="9700"/>
        <w:spacing w:after="0" w:line="228" w:lineRule="exact"/>
        <w:rPr>
          <w:sz w:val="20"/>
          <w:szCs w:val="20"/>
          <w:color w:val="auto"/>
        </w:rPr>
      </w:pP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Item 17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Item 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29" w:lineRule="exact"/>
        <w:rPr>
          <w:sz w:val="20"/>
          <w:szCs w:val="20"/>
          <w:color w:val="auto"/>
        </w:rPr>
      </w:pPr>
    </w:p>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1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93" w:lineRule="exact"/>
        <w:rPr>
          <w:sz w:val="20"/>
          <w:szCs w:val="20"/>
          <w:color w:val="auto"/>
        </w:rPr>
      </w:pPr>
    </w:p>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162560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128905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 w:name="page3"/>
    <w:bookmarkEnd w:id="2"/>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20" w:type="dxa"/>
            <w:vAlign w:val="bottom"/>
            <w:gridSpan w:val="13"/>
          </w:tcPr>
          <w:p>
            <w:pPr>
              <w:ind w:left="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20" w:type="dxa"/>
            <w:vAlign w:val="bottom"/>
            <w:gridSpan w:val="5"/>
          </w:tcPr>
          <w:p>
            <w:pPr>
              <w:ind w:left="200"/>
              <w:spacing w:after="0"/>
              <w:rPr>
                <w:sz w:val="20"/>
                <w:szCs w:val="20"/>
                <w:color w:val="auto"/>
              </w:rPr>
            </w:pPr>
            <w:r>
              <w:rPr>
                <w:rFonts w:ascii="Arial" w:cs="Arial" w:eastAsia="Arial" w:hAnsi="Arial"/>
                <w:sz w:val="18"/>
                <w:szCs w:val="18"/>
                <w:color w:val="auto"/>
              </w:rPr>
              <w:t>Page</w:t>
            </w:r>
          </w:p>
        </w:tc>
      </w:tr>
      <w:tr>
        <w:trPr>
          <w:trHeight w:val="167"/>
        </w:trPr>
        <w:tc>
          <w:tcPr>
            <w:tcW w:w="20" w:type="dxa"/>
            <w:vAlign w:val="bottom"/>
          </w:tcPr>
          <w:p>
            <w:pPr>
              <w:spacing w:after="0"/>
              <w:rPr>
                <w:sz w:val="14"/>
                <w:szCs w:val="14"/>
                <w:color w:val="auto"/>
              </w:rPr>
            </w:pPr>
          </w:p>
        </w:tc>
        <w:tc>
          <w:tcPr>
            <w:tcW w:w="2860" w:type="dxa"/>
            <w:vAlign w:val="bottom"/>
            <w:gridSpan w:val="9"/>
          </w:tcPr>
          <w:p>
            <w:pPr>
              <w:spacing w:after="0" w:line="146" w:lineRule="exact"/>
              <w:rPr>
                <w:rFonts w:ascii="Arial" w:cs="Arial" w:eastAsia="Arial" w:hAnsi="Arial"/>
                <w:sz w:val="15"/>
                <w:szCs w:val="15"/>
                <w:color w:val="0000FF"/>
              </w:rPr>
            </w:pPr>
            <w:hyperlink w:anchor="page4">
              <w:r>
                <w:rPr>
                  <w:rFonts w:ascii="Arial" w:cs="Arial" w:eastAsia="Arial" w:hAnsi="Arial"/>
                  <w:sz w:val="15"/>
                  <w:szCs w:val="15"/>
                  <w:color w:val="0000FF"/>
                </w:rPr>
                <w:t>ABOUT THIS ANNUAL REPORT</w:t>
              </w:r>
            </w:hyperlink>
          </w:p>
        </w:tc>
        <w:tc>
          <w:tcPr>
            <w:tcW w:w="7340" w:type="dxa"/>
            <w:vAlign w:val="bottom"/>
            <w:gridSpan w:val="21"/>
          </w:tcPr>
          <w:p>
            <w:pPr>
              <w:spacing w:after="0"/>
              <w:rPr>
                <w:sz w:val="14"/>
                <w:szCs w:val="14"/>
                <w:color w:val="auto"/>
              </w:rPr>
            </w:pPr>
          </w:p>
        </w:tc>
        <w:tc>
          <w:tcPr>
            <w:tcW w:w="500" w:type="dxa"/>
            <w:vAlign w:val="bottom"/>
            <w:tcBorders>
              <w:top w:val="single" w:sz="8" w:color="auto"/>
            </w:tcBorders>
            <w:gridSpan w:val="3"/>
          </w:tcPr>
          <w:p>
            <w:pPr>
              <w:jc w:val="center"/>
              <w:ind w:left="212"/>
              <w:spacing w:after="0" w:line="152" w:lineRule="exact"/>
              <w:rPr>
                <w:rFonts w:ascii="Arial" w:cs="Arial" w:eastAsia="Arial" w:hAnsi="Arial"/>
                <w:sz w:val="17"/>
                <w:szCs w:val="17"/>
                <w:color w:val="0000FF"/>
                <w:w w:val="84"/>
              </w:rPr>
            </w:pPr>
            <w:hyperlink w:anchor="page4">
              <w:r>
                <w:rPr>
                  <w:rFonts w:ascii="Arial" w:cs="Arial" w:eastAsia="Arial" w:hAnsi="Arial"/>
                  <w:sz w:val="17"/>
                  <w:szCs w:val="17"/>
                  <w:color w:val="0000FF"/>
                  <w:w w:val="84"/>
                </w:rPr>
                <w:t>1</w:t>
              </w:r>
            </w:hyperlink>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10200" w:type="dxa"/>
            <w:vAlign w:val="bottom"/>
            <w:gridSpan w:val="3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CAUTIONARY NOTE REGARDING FORWARD-LOOKING STATEMENTS</w:t>
              </w:r>
            </w:hyperlink>
          </w:p>
        </w:tc>
        <w:tc>
          <w:tcPr>
            <w:tcW w:w="500" w:type="dxa"/>
            <w:vAlign w:val="bottom"/>
            <w:gridSpan w:val="3"/>
          </w:tcPr>
          <w:p>
            <w:pPr>
              <w:jc w:val="center"/>
              <w:ind w:left="21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5</w:t>
              </w:r>
            </w:hyperlink>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line="205"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PART I</w:t>
              </w:r>
            </w:hyperlink>
          </w:p>
        </w:tc>
        <w:tc>
          <w:tcPr>
            <w:tcW w:w="5280" w:type="dxa"/>
            <w:vAlign w:val="bottom"/>
            <w:gridSpan w:val="23"/>
          </w:tcPr>
          <w:p>
            <w:pPr>
              <w:spacing w:after="0"/>
              <w:rPr>
                <w:sz w:val="17"/>
                <w:szCs w:val="17"/>
                <w:color w:val="auto"/>
              </w:rPr>
            </w:pPr>
          </w:p>
        </w:tc>
        <w:tc>
          <w:tcPr>
            <w:tcW w:w="4360" w:type="dxa"/>
            <w:vAlign w:val="bottom"/>
            <w:gridSpan w:val="6"/>
          </w:tcPr>
          <w:p>
            <w:pPr>
              <w:spacing w:after="0"/>
              <w:rPr>
                <w:sz w:val="17"/>
                <w:szCs w:val="17"/>
                <w:color w:val="auto"/>
              </w:rPr>
            </w:pPr>
          </w:p>
        </w:tc>
        <w:tc>
          <w:tcPr>
            <w:tcW w:w="500" w:type="dxa"/>
            <w:vAlign w:val="bottom"/>
            <w:gridSpan w:val="3"/>
          </w:tcPr>
          <w:p>
            <w:pPr>
              <w:jc w:val="center"/>
              <w:ind w:left="212"/>
              <w:spacing w:after="0" w:line="205"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Item 1. Identity of Directors, Senior Management and Advisers</w:t>
              </w:r>
            </w:hyperlink>
          </w:p>
        </w:tc>
        <w:tc>
          <w:tcPr>
            <w:tcW w:w="500" w:type="dxa"/>
            <w:vAlign w:val="bottom"/>
            <w:gridSpan w:val="3"/>
          </w:tcPr>
          <w:p>
            <w:pPr>
              <w:jc w:val="center"/>
              <w:ind w:left="212"/>
              <w:spacing w:after="0" w:line="205"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21"/>
          </w:tcPr>
          <w:p>
            <w:pPr>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Item 2. Offer Statistics and Expected Timetable</w:t>
              </w:r>
            </w:hyperlink>
          </w:p>
        </w:tc>
        <w:tc>
          <w:tcPr>
            <w:tcW w:w="4720" w:type="dxa"/>
            <w:vAlign w:val="bottom"/>
            <w:gridSpan w:val="7"/>
          </w:tcPr>
          <w:p>
            <w:pPr>
              <w:spacing w:after="0"/>
              <w:rPr>
                <w:sz w:val="17"/>
                <w:szCs w:val="17"/>
                <w:color w:val="auto"/>
              </w:rPr>
            </w:pPr>
          </w:p>
        </w:tc>
        <w:tc>
          <w:tcPr>
            <w:tcW w:w="500" w:type="dxa"/>
            <w:vAlign w:val="bottom"/>
            <w:gridSpan w:val="3"/>
          </w:tcPr>
          <w:p>
            <w:pPr>
              <w:jc w:val="center"/>
              <w:ind w:left="212"/>
              <w:spacing w:after="0" w:line="205"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gridSpan w:val="14"/>
          </w:tcPr>
          <w:p>
            <w:pPr>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Item 3. Key Information</w:t>
              </w:r>
            </w:hyperlink>
          </w:p>
        </w:tc>
        <w:tc>
          <w:tcPr>
            <w:tcW w:w="5880" w:type="dxa"/>
            <w:vAlign w:val="bottom"/>
            <w:gridSpan w:val="14"/>
          </w:tcPr>
          <w:p>
            <w:pPr>
              <w:spacing w:after="0"/>
              <w:rPr>
                <w:sz w:val="17"/>
                <w:szCs w:val="17"/>
                <w:color w:val="auto"/>
              </w:rPr>
            </w:pPr>
          </w:p>
        </w:tc>
        <w:tc>
          <w:tcPr>
            <w:tcW w:w="500" w:type="dxa"/>
            <w:vAlign w:val="bottom"/>
            <w:gridSpan w:val="3"/>
          </w:tcPr>
          <w:p>
            <w:pPr>
              <w:jc w:val="center"/>
              <w:ind w:left="212"/>
              <w:spacing w:after="0" w:line="205"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0000FF"/>
            </w:tcBorders>
            <w:gridSpan w:val="11"/>
          </w:tcPr>
          <w:p>
            <w:pPr>
              <w:spacing w:after="0" w:line="205" w:lineRule="exact"/>
              <w:rPr>
                <w:rFonts w:ascii="Arial" w:cs="Arial" w:eastAsia="Arial" w:hAnsi="Arial"/>
                <w:sz w:val="18"/>
                <w:szCs w:val="18"/>
                <w:color w:val="0000FF"/>
                <w:w w:val="96"/>
              </w:rPr>
            </w:pPr>
            <w:hyperlink w:anchor="page52">
              <w:r>
                <w:rPr>
                  <w:rFonts w:ascii="Arial" w:cs="Arial" w:eastAsia="Arial" w:hAnsi="Arial"/>
                  <w:sz w:val="18"/>
                  <w:szCs w:val="18"/>
                  <w:color w:val="0000FF"/>
                  <w:w w:val="96"/>
                </w:rPr>
                <w:t>Item 4. Information on the Company</w:t>
              </w:r>
            </w:hyperlink>
          </w:p>
        </w:tc>
        <w:tc>
          <w:tcPr>
            <w:tcW w:w="6740" w:type="dxa"/>
            <w:vAlign w:val="bottom"/>
            <w:gridSpan w:val="17"/>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0000FF"/>
            </w:tcBorders>
            <w:gridSpan w:val="12"/>
          </w:tcPr>
          <w:p>
            <w:pPr>
              <w:spacing w:after="0" w:line="205" w:lineRule="exact"/>
              <w:rPr>
                <w:rFonts w:ascii="Arial" w:cs="Arial" w:eastAsia="Arial" w:hAnsi="Arial"/>
                <w:sz w:val="18"/>
                <w:szCs w:val="18"/>
                <w:color w:val="0000FF"/>
                <w:w w:val="96"/>
              </w:rPr>
            </w:pPr>
            <w:hyperlink w:anchor="page62">
              <w:r>
                <w:rPr>
                  <w:rFonts w:ascii="Arial" w:cs="Arial" w:eastAsia="Arial" w:hAnsi="Arial"/>
                  <w:sz w:val="18"/>
                  <w:szCs w:val="18"/>
                  <w:color w:val="0000FF"/>
                  <w:w w:val="96"/>
                </w:rPr>
                <w:t>Item 4A. Unresolved Staff Comments</w:t>
              </w:r>
            </w:hyperlink>
          </w:p>
        </w:tc>
        <w:tc>
          <w:tcPr>
            <w:tcW w:w="6640" w:type="dxa"/>
            <w:vAlign w:val="bottom"/>
            <w:gridSpan w:val="16"/>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58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Item 5. Operating and Financial Review and Prospects</w:t>
              </w:r>
            </w:hyperlink>
          </w:p>
        </w:tc>
        <w:tc>
          <w:tcPr>
            <w:tcW w:w="500" w:type="dxa"/>
            <w:vAlign w:val="bottom"/>
            <w:gridSpan w:val="3"/>
          </w:tcPr>
          <w:p>
            <w:pPr>
              <w:jc w:val="center"/>
              <w:ind w:left="212"/>
              <w:spacing w:after="0" w:line="205" w:lineRule="exact"/>
              <w:rPr>
                <w:rFonts w:ascii="Arial" w:cs="Arial" w:eastAsia="Arial" w:hAnsi="Arial"/>
                <w:sz w:val="18"/>
                <w:szCs w:val="18"/>
                <w:color w:val="0000FF"/>
                <w:w w:val="99"/>
              </w:rPr>
            </w:pPr>
            <w:hyperlink w:anchor="page62">
              <w:r>
                <w:rPr>
                  <w:rFonts w:ascii="Arial" w:cs="Arial" w:eastAsia="Arial" w:hAnsi="Arial"/>
                  <w:sz w:val="18"/>
                  <w:szCs w:val="18"/>
                  <w:color w:val="0000FF"/>
                  <w:w w:val="99"/>
                </w:rPr>
                <w:t>58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top w:val="single" w:sz="8" w:color="0000FF"/>
            </w:tcBorders>
            <w:gridSpan w:val="17"/>
          </w:tcPr>
          <w:p>
            <w:pPr>
              <w:spacing w:after="0" w:line="205" w:lineRule="exact"/>
              <w:rPr>
                <w:rFonts w:ascii="Arial" w:cs="Arial" w:eastAsia="Arial" w:hAnsi="Arial"/>
                <w:sz w:val="18"/>
                <w:szCs w:val="18"/>
                <w:color w:val="0000FF"/>
                <w:w w:val="97"/>
              </w:rPr>
            </w:pPr>
            <w:hyperlink w:anchor="page84">
              <w:r>
                <w:rPr>
                  <w:rFonts w:ascii="Arial" w:cs="Arial" w:eastAsia="Arial" w:hAnsi="Arial"/>
                  <w:sz w:val="18"/>
                  <w:szCs w:val="18"/>
                  <w:color w:val="0000FF"/>
                  <w:w w:val="97"/>
                </w:rPr>
                <w:t>Item 6. Directors, Senior Management and Employees</w:t>
              </w:r>
            </w:hyperlink>
          </w:p>
        </w:tc>
        <w:tc>
          <w:tcPr>
            <w:tcW w:w="5300" w:type="dxa"/>
            <w:vAlign w:val="bottom"/>
            <w:gridSpan w:val="11"/>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FF"/>
            </w:tcBorders>
            <w:gridSpan w:val="2"/>
          </w:tcPr>
          <w:p>
            <w:pPr>
              <w:jc w:val="center"/>
              <w:spacing w:after="0"/>
              <w:rPr>
                <w:rFonts w:ascii="Arial" w:cs="Arial" w:eastAsia="Arial" w:hAnsi="Arial"/>
                <w:sz w:val="17"/>
                <w:szCs w:val="17"/>
                <w:color w:val="0000FF"/>
                <w:w w:val="73"/>
              </w:rPr>
            </w:pPr>
            <w:hyperlink w:anchor="page84">
              <w:r>
                <w:rPr>
                  <w:rFonts w:ascii="Arial" w:cs="Arial" w:eastAsia="Arial" w:hAnsi="Arial"/>
                  <w:sz w:val="17"/>
                  <w:szCs w:val="17"/>
                  <w:color w:val="0000FF"/>
                  <w:w w:val="73"/>
                </w:rPr>
                <w:t>80</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105">
              <w:r>
                <w:rPr>
                  <w:rFonts w:ascii="Arial" w:cs="Arial" w:eastAsia="Arial" w:hAnsi="Arial"/>
                  <w:sz w:val="18"/>
                  <w:szCs w:val="18"/>
                  <w:color w:val="0000FF"/>
                </w:rPr>
                <w:t>Item 7. Major Shareholders and Related Party Transactions</w:t>
              </w:r>
            </w:hyperlink>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05">
              <w:r>
                <w:rPr>
                  <w:rFonts w:ascii="Arial" w:cs="Arial" w:eastAsia="Arial" w:hAnsi="Arial"/>
                  <w:sz w:val="18"/>
                  <w:szCs w:val="18"/>
                  <w:color w:val="0000FF"/>
                  <w:w w:val="93"/>
                </w:rPr>
                <w:t>101</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gridSpan w:val="20"/>
          </w:tcPr>
          <w:p>
            <w:pPr>
              <w:spacing w:after="0" w:line="205" w:lineRule="exact"/>
              <w:rPr>
                <w:rFonts w:ascii="Arial" w:cs="Arial" w:eastAsia="Arial" w:hAnsi="Arial"/>
                <w:sz w:val="18"/>
                <w:szCs w:val="18"/>
                <w:color w:val="0000FF"/>
              </w:rPr>
            </w:pPr>
            <w:hyperlink w:anchor="page111">
              <w:r>
                <w:rPr>
                  <w:rFonts w:ascii="Arial" w:cs="Arial" w:eastAsia="Arial" w:hAnsi="Arial"/>
                  <w:sz w:val="18"/>
                  <w:szCs w:val="18"/>
                  <w:color w:val="0000FF"/>
                </w:rPr>
                <w:t>Item 8. Financial Information</w:t>
              </w:r>
            </w:hyperlink>
          </w:p>
        </w:tc>
        <w:tc>
          <w:tcPr>
            <w:tcW w:w="4920" w:type="dxa"/>
            <w:vAlign w:val="bottom"/>
            <w:gridSpan w:val="8"/>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11">
              <w:r>
                <w:rPr>
                  <w:rFonts w:ascii="Arial" w:cs="Arial" w:eastAsia="Arial" w:hAnsi="Arial"/>
                  <w:sz w:val="18"/>
                  <w:szCs w:val="18"/>
                  <w:color w:val="0000FF"/>
                  <w:w w:val="93"/>
                </w:rPr>
                <w:t>107</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8"/>
          </w:tcPr>
          <w:p>
            <w:pPr>
              <w:spacing w:after="0" w:line="205" w:lineRule="exact"/>
              <w:rPr>
                <w:rFonts w:ascii="Arial" w:cs="Arial" w:eastAsia="Arial" w:hAnsi="Arial"/>
                <w:sz w:val="18"/>
                <w:szCs w:val="18"/>
                <w:color w:val="0000FF"/>
                <w:w w:val="96"/>
              </w:rPr>
            </w:pPr>
            <w:hyperlink w:anchor="page111">
              <w:r>
                <w:rPr>
                  <w:rFonts w:ascii="Arial" w:cs="Arial" w:eastAsia="Arial" w:hAnsi="Arial"/>
                  <w:sz w:val="18"/>
                  <w:szCs w:val="18"/>
                  <w:color w:val="0000FF"/>
                  <w:w w:val="96"/>
                </w:rPr>
                <w:t>Item 9. The Offer and Listing</w:t>
              </w:r>
            </w:hyperlink>
          </w:p>
        </w:tc>
        <w:tc>
          <w:tcPr>
            <w:tcW w:w="7320" w:type="dxa"/>
            <w:vAlign w:val="bottom"/>
            <w:gridSpan w:val="20"/>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11">
              <w:r>
                <w:rPr>
                  <w:rFonts w:ascii="Arial" w:cs="Arial" w:eastAsia="Arial" w:hAnsi="Arial"/>
                  <w:sz w:val="18"/>
                  <w:szCs w:val="18"/>
                  <w:color w:val="0000FF"/>
                  <w:w w:val="93"/>
                </w:rPr>
                <w:t>107</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9"/>
          </w:tcPr>
          <w:p>
            <w:pPr>
              <w:spacing w:after="0" w:line="205" w:lineRule="exact"/>
              <w:rPr>
                <w:rFonts w:ascii="Arial" w:cs="Arial" w:eastAsia="Arial" w:hAnsi="Arial"/>
                <w:sz w:val="18"/>
                <w:szCs w:val="18"/>
                <w:color w:val="0000FF"/>
                <w:w w:val="93"/>
              </w:rPr>
            </w:pPr>
            <w:hyperlink w:anchor="page112">
              <w:r>
                <w:rPr>
                  <w:rFonts w:ascii="Arial" w:cs="Arial" w:eastAsia="Arial" w:hAnsi="Arial"/>
                  <w:sz w:val="18"/>
                  <w:szCs w:val="18"/>
                  <w:color w:val="0000FF"/>
                  <w:w w:val="93"/>
                </w:rPr>
                <w:t>Item 10. Additional Information</w:t>
              </w:r>
            </w:hyperlink>
          </w:p>
        </w:tc>
        <w:tc>
          <w:tcPr>
            <w:tcW w:w="7220" w:type="dxa"/>
            <w:vAlign w:val="bottom"/>
            <w:gridSpan w:val="19"/>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12">
              <w:r>
                <w:rPr>
                  <w:rFonts w:ascii="Arial" w:cs="Arial" w:eastAsia="Arial" w:hAnsi="Arial"/>
                  <w:sz w:val="18"/>
                  <w:szCs w:val="18"/>
                  <w:color w:val="0000FF"/>
                  <w:w w:val="93"/>
                </w:rPr>
                <w:t>109</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gridSpan w:val="23"/>
          </w:tcPr>
          <w:p>
            <w:pPr>
              <w:spacing w:after="0" w:line="205" w:lineRule="exact"/>
              <w:rPr>
                <w:rFonts w:ascii="Arial" w:cs="Arial" w:eastAsia="Arial" w:hAnsi="Arial"/>
                <w:sz w:val="18"/>
                <w:szCs w:val="18"/>
                <w:color w:val="0000FF"/>
                <w:w w:val="97"/>
              </w:rPr>
            </w:pPr>
            <w:hyperlink w:anchor="page122">
              <w:r>
                <w:rPr>
                  <w:rFonts w:ascii="Arial" w:cs="Arial" w:eastAsia="Arial" w:hAnsi="Arial"/>
                  <w:sz w:val="18"/>
                  <w:szCs w:val="18"/>
                  <w:color w:val="0000FF"/>
                  <w:w w:val="97"/>
                </w:rPr>
                <w:t>Item 11. Quantitative and Qualitative Disclosures about Market Risks</w:t>
              </w:r>
            </w:hyperlink>
          </w:p>
        </w:tc>
        <w:tc>
          <w:tcPr>
            <w:tcW w:w="4180" w:type="dxa"/>
            <w:vAlign w:val="bottom"/>
            <w:gridSpan w:val="5"/>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2">
              <w:r>
                <w:rPr>
                  <w:rFonts w:ascii="Arial" w:cs="Arial" w:eastAsia="Arial" w:hAnsi="Arial"/>
                  <w:sz w:val="18"/>
                  <w:szCs w:val="18"/>
                  <w:color w:val="0000FF"/>
                  <w:w w:val="93"/>
                </w:rPr>
                <w:t>118</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21"/>
          </w:tcPr>
          <w:p>
            <w:pPr>
              <w:spacing w:after="0" w:line="205" w:lineRule="exact"/>
              <w:rPr>
                <w:rFonts w:ascii="Arial" w:cs="Arial" w:eastAsia="Arial" w:hAnsi="Arial"/>
                <w:sz w:val="18"/>
                <w:szCs w:val="18"/>
                <w:color w:val="0000FF"/>
                <w:w w:val="96"/>
              </w:rPr>
            </w:pPr>
            <w:hyperlink w:anchor="page123">
              <w:r>
                <w:rPr>
                  <w:rFonts w:ascii="Arial" w:cs="Arial" w:eastAsia="Arial" w:hAnsi="Arial"/>
                  <w:sz w:val="18"/>
                  <w:szCs w:val="18"/>
                  <w:color w:val="0000FF"/>
                  <w:w w:val="96"/>
                </w:rPr>
                <w:t>Item 12. Description of Securities Other than Equity Securities</w:t>
              </w:r>
            </w:hyperlink>
          </w:p>
        </w:tc>
        <w:tc>
          <w:tcPr>
            <w:tcW w:w="540" w:type="dxa"/>
            <w:vAlign w:val="bottom"/>
            <w:gridSpan w:val="2"/>
          </w:tcPr>
          <w:p>
            <w:pPr>
              <w:spacing w:after="0"/>
              <w:rPr>
                <w:sz w:val="17"/>
                <w:szCs w:val="17"/>
                <w:color w:val="auto"/>
              </w:rPr>
            </w:pPr>
          </w:p>
        </w:tc>
        <w:tc>
          <w:tcPr>
            <w:tcW w:w="4180" w:type="dxa"/>
            <w:vAlign w:val="bottom"/>
            <w:gridSpan w:val="5"/>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3">
              <w:r>
                <w:rPr>
                  <w:rFonts w:ascii="Arial" w:cs="Arial" w:eastAsia="Arial" w:hAnsi="Arial"/>
                  <w:sz w:val="18"/>
                  <w:szCs w:val="18"/>
                  <w:color w:val="0000FF"/>
                  <w:w w:val="93"/>
                </w:rPr>
                <w:t>119</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2"/>
          </w:tcPr>
          <w:p>
            <w:pPr>
              <w:spacing w:after="0" w:line="205" w:lineRule="exact"/>
              <w:rPr>
                <w:rFonts w:ascii="Arial" w:cs="Arial" w:eastAsia="Arial" w:hAnsi="Arial"/>
                <w:sz w:val="18"/>
                <w:szCs w:val="18"/>
                <w:color w:val="0000FF"/>
                <w:w w:val="98"/>
              </w:rPr>
            </w:pPr>
            <w:hyperlink w:anchor="page123">
              <w:r>
                <w:rPr>
                  <w:rFonts w:ascii="Arial" w:cs="Arial" w:eastAsia="Arial" w:hAnsi="Arial"/>
                  <w:sz w:val="18"/>
                  <w:szCs w:val="18"/>
                  <w:color w:val="0000FF"/>
                  <w:w w:val="98"/>
                </w:rPr>
                <w:t>PART II</w:t>
              </w:r>
            </w:hyperlink>
          </w:p>
        </w:tc>
        <w:tc>
          <w:tcPr>
            <w:tcW w:w="4820" w:type="dxa"/>
            <w:vAlign w:val="bottom"/>
            <w:gridSpan w:val="21"/>
          </w:tcPr>
          <w:p>
            <w:pPr>
              <w:spacing w:after="0"/>
              <w:rPr>
                <w:sz w:val="17"/>
                <w:szCs w:val="17"/>
                <w:color w:val="auto"/>
              </w:rPr>
            </w:pPr>
          </w:p>
        </w:tc>
        <w:tc>
          <w:tcPr>
            <w:tcW w:w="4720" w:type="dxa"/>
            <w:vAlign w:val="bottom"/>
            <w:gridSpan w:val="7"/>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3">
              <w:r>
                <w:rPr>
                  <w:rFonts w:ascii="Arial" w:cs="Arial" w:eastAsia="Arial" w:hAnsi="Arial"/>
                  <w:sz w:val="18"/>
                  <w:szCs w:val="18"/>
                  <w:color w:val="0000FF"/>
                  <w:w w:val="93"/>
                </w:rPr>
                <w:t>119</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123">
              <w:r>
                <w:rPr>
                  <w:rFonts w:ascii="Arial" w:cs="Arial" w:eastAsia="Arial" w:hAnsi="Arial"/>
                  <w:sz w:val="18"/>
                  <w:szCs w:val="18"/>
                  <w:color w:val="0000FF"/>
                </w:rPr>
                <w:t>Item 13. Defaults, Dividend Arrearages and Delinquencies</w:t>
              </w:r>
            </w:hyperlink>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3">
              <w:r>
                <w:rPr>
                  <w:rFonts w:ascii="Arial" w:cs="Arial" w:eastAsia="Arial" w:hAnsi="Arial"/>
                  <w:sz w:val="18"/>
                  <w:szCs w:val="18"/>
                  <w:color w:val="0000FF"/>
                  <w:w w:val="93"/>
                </w:rPr>
                <w:t>119</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60" w:type="dxa"/>
            <w:vAlign w:val="bottom"/>
            <w:gridSpan w:val="27"/>
          </w:tcPr>
          <w:p>
            <w:pPr>
              <w:spacing w:after="0" w:line="205" w:lineRule="exact"/>
              <w:rPr>
                <w:rFonts w:ascii="Arial" w:cs="Arial" w:eastAsia="Arial" w:hAnsi="Arial"/>
                <w:sz w:val="18"/>
                <w:szCs w:val="18"/>
                <w:color w:val="0000FF"/>
                <w:w w:val="97"/>
              </w:rPr>
            </w:pPr>
            <w:hyperlink w:anchor="page123">
              <w:r>
                <w:rPr>
                  <w:rFonts w:ascii="Arial" w:cs="Arial" w:eastAsia="Arial" w:hAnsi="Arial"/>
                  <w:sz w:val="18"/>
                  <w:szCs w:val="18"/>
                  <w:color w:val="0000FF"/>
                  <w:w w:val="97"/>
                </w:rPr>
                <w:t>Item 14. Material Modifications to the Rights of Security Holders and Use of Proceeds</w:t>
              </w:r>
            </w:hyperlink>
          </w:p>
        </w:tc>
        <w:tc>
          <w:tcPr>
            <w:tcW w:w="2880" w:type="dxa"/>
            <w:vAlign w:val="bottom"/>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3">
              <w:r>
                <w:rPr>
                  <w:rFonts w:ascii="Arial" w:cs="Arial" w:eastAsia="Arial" w:hAnsi="Arial"/>
                  <w:sz w:val="18"/>
                  <w:szCs w:val="18"/>
                  <w:color w:val="0000FF"/>
                  <w:w w:val="93"/>
                </w:rPr>
                <w:t>119</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10"/>
          </w:tcPr>
          <w:p>
            <w:pPr>
              <w:spacing w:after="0" w:line="205" w:lineRule="exact"/>
              <w:rPr>
                <w:rFonts w:ascii="Arial" w:cs="Arial" w:eastAsia="Arial" w:hAnsi="Arial"/>
                <w:sz w:val="18"/>
                <w:szCs w:val="18"/>
                <w:color w:val="0000FF"/>
                <w:w w:val="95"/>
              </w:rPr>
            </w:pPr>
            <w:hyperlink w:anchor="page124">
              <w:r>
                <w:rPr>
                  <w:rFonts w:ascii="Arial" w:cs="Arial" w:eastAsia="Arial" w:hAnsi="Arial"/>
                  <w:sz w:val="18"/>
                  <w:szCs w:val="18"/>
                  <w:color w:val="0000FF"/>
                  <w:w w:val="95"/>
                </w:rPr>
                <w:t>Item 15. Controls and Procedures</w:t>
              </w:r>
            </w:hyperlink>
          </w:p>
        </w:tc>
        <w:tc>
          <w:tcPr>
            <w:tcW w:w="4060" w:type="dxa"/>
            <w:vAlign w:val="bottom"/>
            <w:gridSpan w:val="17"/>
          </w:tcPr>
          <w:p>
            <w:pPr>
              <w:spacing w:after="0"/>
              <w:rPr>
                <w:sz w:val="17"/>
                <w:szCs w:val="17"/>
                <w:color w:val="auto"/>
              </w:rPr>
            </w:pPr>
          </w:p>
        </w:tc>
        <w:tc>
          <w:tcPr>
            <w:tcW w:w="2880" w:type="dxa"/>
            <w:vAlign w:val="bottom"/>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4">
              <w:r>
                <w:rPr>
                  <w:rFonts w:ascii="Arial" w:cs="Arial" w:eastAsia="Arial" w:hAnsi="Arial"/>
                  <w:sz w:val="18"/>
                  <w:szCs w:val="18"/>
                  <w:color w:val="0000FF"/>
                  <w:w w:val="93"/>
                </w:rPr>
                <w:t>120</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tcPr>
          <w:p>
            <w:pPr>
              <w:spacing w:after="0" w:line="205" w:lineRule="exact"/>
              <w:rPr>
                <w:rFonts w:ascii="Arial" w:cs="Arial" w:eastAsia="Arial" w:hAnsi="Arial"/>
                <w:sz w:val="18"/>
                <w:szCs w:val="18"/>
                <w:color w:val="0000FF"/>
              </w:rPr>
            </w:pPr>
            <w:hyperlink w:anchor="page125">
              <w:r>
                <w:rPr>
                  <w:rFonts w:ascii="Arial" w:cs="Arial" w:eastAsia="Arial" w:hAnsi="Arial"/>
                  <w:sz w:val="18"/>
                  <w:szCs w:val="18"/>
                  <w:color w:val="0000FF"/>
                </w:rPr>
                <w:t>Item 16. [Reserved]</w:t>
              </w:r>
            </w:hyperlink>
          </w:p>
        </w:tc>
        <w:tc>
          <w:tcPr>
            <w:tcW w:w="660" w:type="dxa"/>
            <w:vAlign w:val="bottom"/>
            <w:gridSpan w:val="5"/>
          </w:tcPr>
          <w:p>
            <w:pPr>
              <w:spacing w:after="0"/>
              <w:rPr>
                <w:sz w:val="17"/>
                <w:szCs w:val="17"/>
                <w:color w:val="auto"/>
              </w:rPr>
            </w:pPr>
          </w:p>
        </w:tc>
        <w:tc>
          <w:tcPr>
            <w:tcW w:w="6940" w:type="dxa"/>
            <w:vAlign w:val="bottom"/>
            <w:gridSpan w:val="18"/>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5">
              <w:r>
                <w:rPr>
                  <w:rFonts w:ascii="Arial" w:cs="Arial" w:eastAsia="Arial" w:hAnsi="Arial"/>
                  <w:sz w:val="18"/>
                  <w:szCs w:val="18"/>
                  <w:color w:val="0000FF"/>
                  <w:w w:val="93"/>
                </w:rPr>
                <w:t>121</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15"/>
          </w:tcPr>
          <w:p>
            <w:pPr>
              <w:spacing w:after="0" w:line="205" w:lineRule="exact"/>
              <w:rPr>
                <w:rFonts w:ascii="Arial" w:cs="Arial" w:eastAsia="Arial" w:hAnsi="Arial"/>
                <w:sz w:val="18"/>
                <w:szCs w:val="18"/>
                <w:color w:val="0000FF"/>
              </w:rPr>
            </w:pPr>
            <w:hyperlink w:anchor="page125">
              <w:r>
                <w:rPr>
                  <w:rFonts w:ascii="Arial" w:cs="Arial" w:eastAsia="Arial" w:hAnsi="Arial"/>
                  <w:sz w:val="18"/>
                  <w:szCs w:val="18"/>
                  <w:color w:val="0000FF"/>
                </w:rPr>
                <w:t>Item 16A. Audit Committee Financial Expert</w:t>
              </w:r>
            </w:hyperlink>
          </w:p>
        </w:tc>
        <w:tc>
          <w:tcPr>
            <w:tcW w:w="5620" w:type="dxa"/>
            <w:vAlign w:val="bottom"/>
            <w:gridSpan w:val="13"/>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5">
              <w:r>
                <w:rPr>
                  <w:rFonts w:ascii="Arial" w:cs="Arial" w:eastAsia="Arial" w:hAnsi="Arial"/>
                  <w:sz w:val="18"/>
                  <w:szCs w:val="18"/>
                  <w:color w:val="0000FF"/>
                  <w:w w:val="93"/>
                </w:rPr>
                <w:t>121</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tcPr>
          <w:p>
            <w:pPr>
              <w:spacing w:after="0" w:line="205" w:lineRule="exact"/>
              <w:rPr>
                <w:rFonts w:ascii="Arial" w:cs="Arial" w:eastAsia="Arial" w:hAnsi="Arial"/>
                <w:sz w:val="18"/>
                <w:szCs w:val="18"/>
                <w:color w:val="0000FF"/>
                <w:w w:val="96"/>
              </w:rPr>
            </w:pPr>
            <w:hyperlink w:anchor="page125">
              <w:r>
                <w:rPr>
                  <w:rFonts w:ascii="Arial" w:cs="Arial" w:eastAsia="Arial" w:hAnsi="Arial"/>
                  <w:sz w:val="18"/>
                  <w:szCs w:val="18"/>
                  <w:color w:val="0000FF"/>
                  <w:w w:val="96"/>
                </w:rPr>
                <w:t>Item 16B. Code of Ethics</w:t>
              </w:r>
            </w:hyperlink>
          </w:p>
        </w:tc>
        <w:tc>
          <w:tcPr>
            <w:tcW w:w="1980" w:type="dxa"/>
            <w:vAlign w:val="bottom"/>
            <w:gridSpan w:val="10"/>
          </w:tcPr>
          <w:p>
            <w:pPr>
              <w:spacing w:after="0"/>
              <w:rPr>
                <w:sz w:val="17"/>
                <w:szCs w:val="17"/>
                <w:color w:val="auto"/>
              </w:rPr>
            </w:pPr>
          </w:p>
        </w:tc>
        <w:tc>
          <w:tcPr>
            <w:tcW w:w="5620" w:type="dxa"/>
            <w:vAlign w:val="bottom"/>
            <w:gridSpan w:val="13"/>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5">
              <w:r>
                <w:rPr>
                  <w:rFonts w:ascii="Arial" w:cs="Arial" w:eastAsia="Arial" w:hAnsi="Arial"/>
                  <w:sz w:val="18"/>
                  <w:szCs w:val="18"/>
                  <w:color w:val="0000FF"/>
                  <w:w w:val="93"/>
                </w:rPr>
                <w:t>121</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15"/>
          </w:tcPr>
          <w:p>
            <w:pPr>
              <w:spacing w:after="0" w:line="205" w:lineRule="exact"/>
              <w:rPr>
                <w:rFonts w:ascii="Arial" w:cs="Arial" w:eastAsia="Arial" w:hAnsi="Arial"/>
                <w:sz w:val="18"/>
                <w:szCs w:val="18"/>
                <w:color w:val="0000FF"/>
                <w:w w:val="97"/>
              </w:rPr>
            </w:pPr>
            <w:hyperlink w:anchor="page125">
              <w:r>
                <w:rPr>
                  <w:rFonts w:ascii="Arial" w:cs="Arial" w:eastAsia="Arial" w:hAnsi="Arial"/>
                  <w:sz w:val="18"/>
                  <w:szCs w:val="18"/>
                  <w:color w:val="0000FF"/>
                  <w:w w:val="97"/>
                </w:rPr>
                <w:t>Item 16C. Principal Accountant Fees and Services</w:t>
              </w:r>
            </w:hyperlink>
          </w:p>
        </w:tc>
        <w:tc>
          <w:tcPr>
            <w:tcW w:w="5620" w:type="dxa"/>
            <w:vAlign w:val="bottom"/>
            <w:gridSpan w:val="13"/>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5">
              <w:r>
                <w:rPr>
                  <w:rFonts w:ascii="Arial" w:cs="Arial" w:eastAsia="Arial" w:hAnsi="Arial"/>
                  <w:sz w:val="18"/>
                  <w:szCs w:val="18"/>
                  <w:color w:val="0000FF"/>
                  <w:w w:val="93"/>
                </w:rPr>
                <w:t>121</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126">
              <w:r>
                <w:rPr>
                  <w:rFonts w:ascii="Arial" w:cs="Arial" w:eastAsia="Arial" w:hAnsi="Arial"/>
                  <w:sz w:val="18"/>
                  <w:szCs w:val="18"/>
                  <w:color w:val="0000FF"/>
                </w:rPr>
                <w:t>Item 16D. Exemptions from the Listing Standards for Audit Committees</w:t>
              </w:r>
            </w:hyperlink>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6">
              <w:r>
                <w:rPr>
                  <w:rFonts w:ascii="Arial" w:cs="Arial" w:eastAsia="Arial" w:hAnsi="Arial"/>
                  <w:sz w:val="18"/>
                  <w:szCs w:val="18"/>
                  <w:color w:val="0000FF"/>
                  <w:w w:val="93"/>
                </w:rPr>
                <w:t>122</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8"/>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126">
              <w:r>
                <w:rPr>
                  <w:rFonts w:ascii="Arial" w:cs="Arial" w:eastAsia="Arial" w:hAnsi="Arial"/>
                  <w:sz w:val="18"/>
                  <w:szCs w:val="18"/>
                  <w:color w:val="0000FF"/>
                </w:rPr>
                <w:t>Item 16E. Purchases of Equity Securities by the Issuer and Affiliated Purchasers</w:t>
              </w:r>
            </w:hyperlink>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6">
              <w:r>
                <w:rPr>
                  <w:rFonts w:ascii="Arial" w:cs="Arial" w:eastAsia="Arial" w:hAnsi="Arial"/>
                  <w:sz w:val="18"/>
                  <w:szCs w:val="18"/>
                  <w:color w:val="0000FF"/>
                  <w:w w:val="93"/>
                </w:rPr>
                <w:t>122</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8"/>
            <w:shd w:val="clear" w:color="auto" w:fill="0000FF"/>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126">
              <w:r>
                <w:rPr>
                  <w:rFonts w:ascii="Arial" w:cs="Arial" w:eastAsia="Arial" w:hAnsi="Arial"/>
                  <w:sz w:val="18"/>
                  <w:szCs w:val="18"/>
                  <w:color w:val="0000FF"/>
                </w:rPr>
                <w:t>Item 16F. Change in Registrant’s Certifying Accountant</w:t>
              </w:r>
            </w:hyperlink>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6">
              <w:r>
                <w:rPr>
                  <w:rFonts w:ascii="Arial" w:cs="Arial" w:eastAsia="Arial" w:hAnsi="Arial"/>
                  <w:sz w:val="18"/>
                  <w:szCs w:val="18"/>
                  <w:color w:val="0000FF"/>
                  <w:w w:val="93"/>
                </w:rPr>
                <w:t>122</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8"/>
            <w:shd w:val="clear" w:color="auto" w:fill="0000FF"/>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10"/>
          </w:tcPr>
          <w:p>
            <w:pPr>
              <w:spacing w:after="0" w:line="205" w:lineRule="exact"/>
              <w:rPr>
                <w:rFonts w:ascii="Arial" w:cs="Arial" w:eastAsia="Arial" w:hAnsi="Arial"/>
                <w:sz w:val="18"/>
                <w:szCs w:val="18"/>
                <w:color w:val="0000FF"/>
                <w:w w:val="95"/>
              </w:rPr>
            </w:pPr>
            <w:hyperlink w:anchor="page126">
              <w:r>
                <w:rPr>
                  <w:rFonts w:ascii="Arial" w:cs="Arial" w:eastAsia="Arial" w:hAnsi="Arial"/>
                  <w:sz w:val="18"/>
                  <w:szCs w:val="18"/>
                  <w:color w:val="0000FF"/>
                  <w:w w:val="95"/>
                </w:rPr>
                <w:t>Item 16G. Corporate Governance</w:t>
              </w:r>
            </w:hyperlink>
          </w:p>
        </w:tc>
        <w:tc>
          <w:tcPr>
            <w:tcW w:w="1660" w:type="dxa"/>
            <w:vAlign w:val="bottom"/>
            <w:gridSpan w:val="8"/>
          </w:tcPr>
          <w:p>
            <w:pPr>
              <w:spacing w:after="0"/>
              <w:rPr>
                <w:sz w:val="17"/>
                <w:szCs w:val="17"/>
                <w:color w:val="auto"/>
              </w:rPr>
            </w:pPr>
          </w:p>
        </w:tc>
        <w:tc>
          <w:tcPr>
            <w:tcW w:w="5280" w:type="dxa"/>
            <w:vAlign w:val="bottom"/>
            <w:gridSpan w:val="10"/>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6">
              <w:r>
                <w:rPr>
                  <w:rFonts w:ascii="Arial" w:cs="Arial" w:eastAsia="Arial" w:hAnsi="Arial"/>
                  <w:sz w:val="18"/>
                  <w:szCs w:val="18"/>
                  <w:color w:val="0000FF"/>
                  <w:w w:val="93"/>
                </w:rPr>
                <w:t>122</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20" w:type="dxa"/>
            <w:vAlign w:val="bottom"/>
            <w:gridSpan w:val="15"/>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10"/>
          </w:tcPr>
          <w:p>
            <w:pPr>
              <w:spacing w:after="0" w:line="205" w:lineRule="exact"/>
              <w:rPr>
                <w:rFonts w:ascii="Arial" w:cs="Arial" w:eastAsia="Arial" w:hAnsi="Arial"/>
                <w:sz w:val="18"/>
                <w:szCs w:val="18"/>
                <w:color w:val="0000FF"/>
                <w:w w:val="95"/>
              </w:rPr>
            </w:pPr>
            <w:hyperlink w:anchor="page127">
              <w:r>
                <w:rPr>
                  <w:rFonts w:ascii="Arial" w:cs="Arial" w:eastAsia="Arial" w:hAnsi="Arial"/>
                  <w:sz w:val="18"/>
                  <w:szCs w:val="18"/>
                  <w:color w:val="0000FF"/>
                  <w:w w:val="95"/>
                </w:rPr>
                <w:t>Item 16H. Mine Safety Disclosure</w:t>
              </w:r>
            </w:hyperlink>
          </w:p>
        </w:tc>
        <w:tc>
          <w:tcPr>
            <w:tcW w:w="6940" w:type="dxa"/>
            <w:vAlign w:val="bottom"/>
            <w:gridSpan w:val="18"/>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7">
              <w:r>
                <w:rPr>
                  <w:rFonts w:ascii="Arial" w:cs="Arial" w:eastAsia="Arial" w:hAnsi="Arial"/>
                  <w:sz w:val="18"/>
                  <w:szCs w:val="18"/>
                  <w:color w:val="0000FF"/>
                  <w:w w:val="93"/>
                </w:rPr>
                <w:t>123</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420" w:type="dxa"/>
            <w:vAlign w:val="bottom"/>
            <w:gridSpan w:val="15"/>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gridSpan w:val="28"/>
          </w:tcPr>
          <w:p>
            <w:pPr>
              <w:spacing w:after="0" w:line="205" w:lineRule="exact"/>
              <w:rPr>
                <w:rFonts w:ascii="Arial" w:cs="Arial" w:eastAsia="Arial" w:hAnsi="Arial"/>
                <w:sz w:val="18"/>
                <w:szCs w:val="18"/>
                <w:color w:val="0000FF"/>
              </w:rPr>
            </w:pPr>
            <w:hyperlink w:anchor="page127">
              <w:r>
                <w:rPr>
                  <w:rFonts w:ascii="Arial" w:cs="Arial" w:eastAsia="Arial" w:hAnsi="Arial"/>
                  <w:sz w:val="18"/>
                  <w:szCs w:val="18"/>
                  <w:color w:val="0000FF"/>
                </w:rPr>
                <w:t>Item 16I. Disclosure Regarding Foreign Jurisdictions that Prevent Inspections</w:t>
              </w:r>
            </w:hyperlink>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7">
              <w:r>
                <w:rPr>
                  <w:rFonts w:ascii="Arial" w:cs="Arial" w:eastAsia="Arial" w:hAnsi="Arial"/>
                  <w:sz w:val="18"/>
                  <w:szCs w:val="18"/>
                  <w:color w:val="0000FF"/>
                  <w:w w:val="93"/>
                </w:rPr>
                <w:t>123</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7220" w:type="dxa"/>
            <w:vAlign w:val="bottom"/>
            <w:tcBorders>
              <w:left w:val="single" w:sz="8" w:color="0000FF"/>
            </w:tcBorders>
            <w:gridSpan w:val="19"/>
            <w:shd w:val="clear" w:color="auto" w:fill="0000FF"/>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2"/>
          </w:tcPr>
          <w:p>
            <w:pPr>
              <w:spacing w:after="0" w:line="205" w:lineRule="exact"/>
              <w:rPr>
                <w:rFonts w:ascii="Arial" w:cs="Arial" w:eastAsia="Arial" w:hAnsi="Arial"/>
                <w:sz w:val="18"/>
                <w:szCs w:val="18"/>
                <w:color w:val="0000FF"/>
                <w:w w:val="91"/>
              </w:rPr>
            </w:pPr>
            <w:hyperlink w:anchor="page127">
              <w:r>
                <w:rPr>
                  <w:rFonts w:ascii="Arial" w:cs="Arial" w:eastAsia="Arial" w:hAnsi="Arial"/>
                  <w:sz w:val="18"/>
                  <w:szCs w:val="18"/>
                  <w:color w:val="0000FF"/>
                  <w:w w:val="91"/>
                </w:rPr>
                <w:t>PART III</w:t>
              </w:r>
            </w:hyperlink>
          </w:p>
        </w:tc>
        <w:tc>
          <w:tcPr>
            <w:tcW w:w="9540" w:type="dxa"/>
            <w:vAlign w:val="bottom"/>
            <w:gridSpan w:val="28"/>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7">
              <w:r>
                <w:rPr>
                  <w:rFonts w:ascii="Arial" w:cs="Arial" w:eastAsia="Arial" w:hAnsi="Arial"/>
                  <w:sz w:val="18"/>
                  <w:szCs w:val="18"/>
                  <w:color w:val="0000FF"/>
                  <w:w w:val="93"/>
                </w:rPr>
                <w:t>123</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7220" w:type="dxa"/>
            <w:vAlign w:val="bottom"/>
            <w:gridSpan w:val="19"/>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9"/>
          </w:tcPr>
          <w:p>
            <w:pPr>
              <w:spacing w:after="0" w:line="205" w:lineRule="exact"/>
              <w:rPr>
                <w:rFonts w:ascii="Arial" w:cs="Arial" w:eastAsia="Arial" w:hAnsi="Arial"/>
                <w:sz w:val="18"/>
                <w:szCs w:val="18"/>
                <w:color w:val="0000FF"/>
                <w:w w:val="95"/>
              </w:rPr>
            </w:pPr>
            <w:hyperlink w:anchor="page127">
              <w:r>
                <w:rPr>
                  <w:rFonts w:ascii="Arial" w:cs="Arial" w:eastAsia="Arial" w:hAnsi="Arial"/>
                  <w:sz w:val="18"/>
                  <w:szCs w:val="18"/>
                  <w:color w:val="0000FF"/>
                  <w:w w:val="95"/>
                </w:rPr>
                <w:t>Item 17. Financial Statements</w:t>
              </w:r>
            </w:hyperlink>
          </w:p>
        </w:tc>
        <w:tc>
          <w:tcPr>
            <w:tcW w:w="7220" w:type="dxa"/>
            <w:vAlign w:val="bottom"/>
            <w:gridSpan w:val="19"/>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7">
              <w:r>
                <w:rPr>
                  <w:rFonts w:ascii="Arial" w:cs="Arial" w:eastAsia="Arial" w:hAnsi="Arial"/>
                  <w:sz w:val="18"/>
                  <w:szCs w:val="18"/>
                  <w:color w:val="0000FF"/>
                  <w:w w:val="93"/>
                </w:rPr>
                <w:t>123</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7220" w:type="dxa"/>
            <w:vAlign w:val="bottom"/>
            <w:gridSpan w:val="19"/>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9"/>
          </w:tcPr>
          <w:p>
            <w:pPr>
              <w:spacing w:after="0" w:line="205" w:lineRule="exact"/>
              <w:rPr>
                <w:rFonts w:ascii="Arial" w:cs="Arial" w:eastAsia="Arial" w:hAnsi="Arial"/>
                <w:sz w:val="18"/>
                <w:szCs w:val="18"/>
                <w:color w:val="0000FF"/>
                <w:w w:val="95"/>
              </w:rPr>
            </w:pPr>
            <w:hyperlink w:anchor="page127">
              <w:r>
                <w:rPr>
                  <w:rFonts w:ascii="Arial" w:cs="Arial" w:eastAsia="Arial" w:hAnsi="Arial"/>
                  <w:sz w:val="18"/>
                  <w:szCs w:val="18"/>
                  <w:color w:val="0000FF"/>
                  <w:w w:val="95"/>
                </w:rPr>
                <w:t>Item 18. Financial Statements</w:t>
              </w:r>
            </w:hyperlink>
          </w:p>
        </w:tc>
        <w:tc>
          <w:tcPr>
            <w:tcW w:w="7220" w:type="dxa"/>
            <w:vAlign w:val="bottom"/>
            <w:gridSpan w:val="19"/>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7">
              <w:r>
                <w:rPr>
                  <w:rFonts w:ascii="Arial" w:cs="Arial" w:eastAsia="Arial" w:hAnsi="Arial"/>
                  <w:sz w:val="18"/>
                  <w:szCs w:val="18"/>
                  <w:color w:val="0000FF"/>
                  <w:w w:val="93"/>
                </w:rPr>
                <w:t>123</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7220" w:type="dxa"/>
            <w:vAlign w:val="bottom"/>
            <w:gridSpan w:val="19"/>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9"/>
          </w:tcPr>
          <w:p>
            <w:pPr>
              <w:spacing w:after="0" w:line="205" w:lineRule="exact"/>
              <w:rPr>
                <w:rFonts w:ascii="Arial" w:cs="Arial" w:eastAsia="Arial" w:hAnsi="Arial"/>
                <w:sz w:val="18"/>
                <w:szCs w:val="18"/>
                <w:color w:val="0000FF"/>
              </w:rPr>
            </w:pPr>
            <w:hyperlink w:anchor="page127">
              <w:r>
                <w:rPr>
                  <w:rFonts w:ascii="Arial" w:cs="Arial" w:eastAsia="Arial" w:hAnsi="Arial"/>
                  <w:sz w:val="18"/>
                  <w:szCs w:val="18"/>
                  <w:color w:val="0000FF"/>
                </w:rPr>
                <w:t>Item 19. Exhibits</w:t>
              </w:r>
            </w:hyperlink>
          </w:p>
        </w:tc>
        <w:tc>
          <w:tcPr>
            <w:tcW w:w="7220" w:type="dxa"/>
            <w:vAlign w:val="bottom"/>
            <w:gridSpan w:val="19"/>
          </w:tcPr>
          <w:p>
            <w:pPr>
              <w:spacing w:after="0"/>
              <w:rPr>
                <w:sz w:val="17"/>
                <w:szCs w:val="17"/>
                <w:color w:val="auto"/>
              </w:rPr>
            </w:pPr>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7">
              <w:r>
                <w:rPr>
                  <w:rFonts w:ascii="Arial" w:cs="Arial" w:eastAsia="Arial" w:hAnsi="Arial"/>
                  <w:sz w:val="18"/>
                  <w:szCs w:val="18"/>
                  <w:color w:val="0000FF"/>
                  <w:w w:val="93"/>
                </w:rPr>
                <w:t>124</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60" w:type="dxa"/>
            <w:vAlign w:val="bottom"/>
            <w:gridSpan w:val="2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200" w:type="dxa"/>
            <w:vAlign w:val="bottom"/>
            <w:gridSpan w:val="30"/>
          </w:tcPr>
          <w:p>
            <w:pPr>
              <w:spacing w:after="0" w:line="205" w:lineRule="exact"/>
              <w:rPr>
                <w:rFonts w:ascii="Arial" w:cs="Arial" w:eastAsia="Arial" w:hAnsi="Arial"/>
                <w:sz w:val="18"/>
                <w:szCs w:val="18"/>
                <w:color w:val="0000FF"/>
              </w:rPr>
            </w:pPr>
            <w:hyperlink w:anchor="page129">
              <w:r>
                <w:rPr>
                  <w:rFonts w:ascii="Arial" w:cs="Arial" w:eastAsia="Arial" w:hAnsi="Arial"/>
                  <w:sz w:val="18"/>
                  <w:szCs w:val="18"/>
                  <w:color w:val="0000FF"/>
                </w:rPr>
                <w:t>SIGNATURES</w:t>
              </w:r>
            </w:hyperlink>
          </w:p>
        </w:tc>
        <w:tc>
          <w:tcPr>
            <w:tcW w:w="500" w:type="dxa"/>
            <w:vAlign w:val="bottom"/>
            <w:gridSpan w:val="3"/>
          </w:tcPr>
          <w:p>
            <w:pPr>
              <w:jc w:val="center"/>
              <w:ind w:left="132"/>
              <w:spacing w:after="0" w:line="205" w:lineRule="exact"/>
              <w:rPr>
                <w:rFonts w:ascii="Arial" w:cs="Arial" w:eastAsia="Arial" w:hAnsi="Arial"/>
                <w:sz w:val="18"/>
                <w:szCs w:val="18"/>
                <w:color w:val="0000FF"/>
                <w:w w:val="93"/>
              </w:rPr>
            </w:pPr>
            <w:hyperlink w:anchor="page129">
              <w:r>
                <w:rPr>
                  <w:rFonts w:ascii="Arial" w:cs="Arial" w:eastAsia="Arial" w:hAnsi="Arial"/>
                  <w:sz w:val="18"/>
                  <w:szCs w:val="18"/>
                  <w:color w:val="0000FF"/>
                  <w:w w:val="93"/>
                </w:rPr>
                <w:t>126</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94"/>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2011680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ANNUAL REPORT</w:t>
      </w:r>
    </w:p>
    <w:p>
      <w:pPr>
        <w:spacing w:after="0" w:line="186"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Except where the context requires or where otherwise indicated in this Annual Report, the terms “Riskified,” the “Company,” “we,” “us,” “our,” “our company,” and “our business” refers to Riskified Ltd. and its subsidiaries.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All references in this Annual Report to “Israeli currency” and “NIS” refer to New Israeli Shekels, the terms “dollar,” “USD” or “$” refer to U.S. dollars and the terms “€” or “euro” refer to the currency introduced at the start of the third stage of the European economic and monetary union pursuant to the treaty establishing the European Community, as amended.</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BASIS OF PRESENTATION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86"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Our consolidated financial statements have been prepared in accordance with generally accepted accounting principles in the United States, or U.S. GAAP. We present our consolidated financial statements in U.S. dollars.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fiscal year ends on December 31 of each year. Our most recent fiscal year ended on December 31, 2021.</w:t>
      </w:r>
    </w:p>
    <w:p>
      <w:pPr>
        <w:spacing w:after="0" w:line="164"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Certain amounts in prior periods have been reclassified to conform to the current period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used in this Annual Report, except where the context otherwise requires or where otherwise indicated:</w:t>
      </w:r>
    </w:p>
    <w:p>
      <w:pPr>
        <w:spacing w:after="0" w:line="164" w:lineRule="exact"/>
        <w:rPr>
          <w:sz w:val="20"/>
          <w:szCs w:val="20"/>
          <w:color w:val="auto"/>
        </w:rPr>
      </w:pPr>
    </w:p>
    <w:p>
      <w:pPr>
        <w:ind w:left="640" w:right="1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“Riskified,” the “Company,” “we,” “us,” “our,” “our company” and similar references refer to Riskified Ltd. together with its consolidated subsidiaries as a consolidated entity.</w:t>
      </w:r>
    </w:p>
    <w:p>
      <w:pPr>
        <w:spacing w:after="0" w:line="150" w:lineRule="exact"/>
        <w:rPr>
          <w:rFonts w:ascii="Arial" w:cs="Arial" w:eastAsia="Arial" w:hAnsi="Arial"/>
          <w:sz w:val="18"/>
          <w:szCs w:val="18"/>
          <w:color w:val="auto"/>
        </w:rPr>
      </w:pPr>
    </w:p>
    <w:p>
      <w:pPr>
        <w:ind w:left="640" w:right="80" w:hanging="316"/>
        <w:spacing w:after="0" w:line="24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 takeover” refers to any instance where a third party gains access to a consumer’s account with an online merchant. Account takeovers typically occur when a consumer’s login credentials have been compromised. Once a consumer’s account is accessed, malicious parties can initiate fraudulent purchases, export stored value from loyalty programs, or pursue other actions to defraud the merchant and the consumer.</w:t>
      </w:r>
    </w:p>
    <w:p>
      <w:pPr>
        <w:spacing w:after="0" w:line="154" w:lineRule="exact"/>
        <w:rPr>
          <w:rFonts w:ascii="Arial" w:cs="Arial" w:eastAsia="Arial" w:hAnsi="Arial"/>
          <w:sz w:val="18"/>
          <w:szCs w:val="18"/>
          <w:color w:val="auto"/>
        </w:rPr>
      </w:pPr>
    </w:p>
    <w:p>
      <w:pPr>
        <w:ind w:left="640" w:right="40" w:hanging="316"/>
        <w:spacing w:after="0" w:line="263"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“Chargebacks” refers to forced transaction reversals typically associated with credit and debit card transactions. Chargebacks occur when a cardholder disputes a transaction with its bank and the cardholder’s bank rules in favor of the cardholder. In such instances, funds associated with the payment are withdrawn from the merchant’s bank account resulting in a loss equal to the amount of the item that was received by the consumer. Chargebacks are meant as a consumer protection mechanism from fraudulent transactions, however, they may also incite abuse and friendly fraud. For example, friendly fraud may occur when a consumer, rather than returning an order they are dissatisfied with, instead initiates the chargeback process to avoid the complicated returns process. Friendly fraud may violate the merchant’s cancellation policies and, depending on the jurisdiction, may also be unlawful.</w:t>
      </w:r>
    </w:p>
    <w:p>
      <w:pPr>
        <w:spacing w:after="0" w:line="143"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“Consumers” refers to end-consumers who purchase goods or services from our merchants.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ind w:left="640" w:hanging="316"/>
        <w:spacing w:after="0" w:line="25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“False declines” refers to any instance where a legitimate consumer transaction is falsely rejected during the checkout process because the transaction appears to be illegitimate. False declines represent lost sales for the merchant.</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“Merchants” refers to the businesses that purchase our products.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Financial Measures Used in this Annual Report</w:t>
      </w:r>
    </w:p>
    <w:p>
      <w:pPr>
        <w:spacing w:after="0" w:line="186"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Throughout this Annual Report, we provide a number of key performance indicators and non-GAAP financial measures used by our management and often by competitors in our industry. These are discussed in more detail in the section entitled “</w:t>
      </w:r>
      <w:r>
        <w:rPr>
          <w:rFonts w:ascii="Arial" w:cs="Arial" w:eastAsia="Arial" w:hAnsi="Arial"/>
          <w:sz w:val="18"/>
          <w:szCs w:val="18"/>
          <w:i w:val="1"/>
          <w:iCs w:val="1"/>
          <w:color w:val="auto"/>
        </w:rPr>
        <w:t>Operating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Review and Prospects—Key Performance Indicators and Non-GAAP Metrics</w:t>
      </w:r>
      <w:r>
        <w:rPr>
          <w:rFonts w:ascii="Arial" w:cs="Arial" w:eastAsia="Arial" w:hAnsi="Arial"/>
          <w:sz w:val="18"/>
          <w:szCs w:val="18"/>
          <w:color w:val="auto"/>
        </w:rPr>
        <w:t>” which also includes a reconciliation of our non-GAAP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to the most directly comparable U.S. GAAP metric. We define these key performance indicators and non-GAAP financial measures as follows:</w:t>
      </w:r>
    </w:p>
    <w:p>
      <w:pPr>
        <w:spacing w:after="0" w:line="154" w:lineRule="exact"/>
        <w:rPr>
          <w:sz w:val="20"/>
          <w:szCs w:val="20"/>
          <w:color w:val="auto"/>
        </w:rPr>
      </w:pPr>
    </w:p>
    <w:p>
      <w:pPr>
        <w:ind w:left="640" w:right="180" w:hanging="316"/>
        <w:spacing w:after="0" w:line="248"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is a non-GAAP financial measure and is defined as net profit (loss) adjusted to remove the effects of the provision for income taxes, interest income, net, other income (expense), net, depreciation and amortization, share-based compensation expense, and payroll taxes related to share-based compensation.</w:t>
      </w:r>
    </w:p>
    <w:p>
      <w:pPr>
        <w:spacing w:after="0" w:line="153" w:lineRule="exact"/>
        <w:rPr>
          <w:rFonts w:ascii="Arial" w:cs="Arial" w:eastAsia="Arial" w:hAnsi="Arial"/>
          <w:sz w:val="18"/>
          <w:szCs w:val="18"/>
          <w:color w:val="auto"/>
        </w:rPr>
      </w:pPr>
    </w:p>
    <w:p>
      <w:pPr>
        <w:ind w:left="640" w:right="80" w:hanging="316"/>
        <w:spacing w:after="0" w:line="280"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Gross Profit” is a non-GAAP financial measure and represents gross profit excluding the impact of depreciation and amortization, share-based compensation expense, and payroll taxes related to share-based compensation included in cost of revenue.</w:t>
      </w:r>
    </w:p>
    <w:p>
      <w:pPr>
        <w:spacing w:after="0" w:line="126" w:lineRule="exact"/>
        <w:rPr>
          <w:rFonts w:ascii="Arial" w:cs="Arial" w:eastAsia="Arial" w:hAnsi="Arial"/>
          <w:sz w:val="17"/>
          <w:szCs w:val="17"/>
          <w:color w:val="auto"/>
        </w:rPr>
      </w:pPr>
    </w:p>
    <w:p>
      <w:pPr>
        <w:ind w:left="640" w:right="8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Gross Profit Margin” is a non-GAAP financial measure and is defined as Adjusted Gross Profit expressed as a percentage of revenue.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rate” is defined as GMV that has been approved divided by GMV that has been reviewed.</w:t>
      </w:r>
    </w:p>
    <w:p>
      <w:pPr>
        <w:spacing w:after="0" w:line="164" w:lineRule="exact"/>
        <w:rPr>
          <w:rFonts w:ascii="Arial" w:cs="Arial" w:eastAsia="Arial" w:hAnsi="Arial"/>
          <w:sz w:val="18"/>
          <w:szCs w:val="18"/>
          <w:color w:val="auto"/>
        </w:rPr>
      </w:pPr>
    </w:p>
    <w:p>
      <w:pPr>
        <w:ind w:left="640" w:right="380" w:hanging="316"/>
        <w:spacing w:after="0" w:line="248"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“Billings” or “amounts billed” is defined as (1) gross amounts invoiced to our merchants and estimates for cancellations and service level agreements for transactions approved during the period plus (2) changes in estimates for cancellations and service level agreements for orders approved in prior periods. Billings excludes credits issued for chargebacks.</w:t>
      </w:r>
    </w:p>
    <w:p>
      <w:pPr>
        <w:spacing w:after="0" w:line="153" w:lineRule="exact"/>
        <w:rPr>
          <w:rFonts w:ascii="Arial" w:cs="Arial" w:eastAsia="Arial" w:hAnsi="Arial"/>
          <w:sz w:val="18"/>
          <w:szCs w:val="18"/>
          <w:color w:val="auto"/>
        </w:rPr>
      </w:pPr>
    </w:p>
    <w:p>
      <w:pPr>
        <w:ind w:left="640" w:right="66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“Chargebacks-to-billings ratio” or “CTB Ratio” is defined as the total amount of chargeback expenses incurred during the period indicated divided by the total amount of Billings to all of our merchants over the same period.</w:t>
      </w:r>
    </w:p>
    <w:p>
      <w:pPr>
        <w:spacing w:after="0" w:line="150" w:lineRule="exact"/>
        <w:rPr>
          <w:rFonts w:ascii="Arial" w:cs="Arial" w:eastAsia="Arial" w:hAnsi="Arial"/>
          <w:sz w:val="18"/>
          <w:szCs w:val="18"/>
          <w:color w:val="auto"/>
        </w:rPr>
      </w:pPr>
    </w:p>
    <w:p>
      <w:pPr>
        <w:ind w:left="640" w:right="42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“Free Cash Flow” is a non-GAAP financial measure and is defined as net cash provided by (used in) operating activities, less cash payments for property and equipment and capitalized software development costs.</w:t>
      </w:r>
    </w:p>
    <w:p>
      <w:pPr>
        <w:spacing w:after="0" w:line="150" w:lineRule="exact"/>
        <w:rPr>
          <w:rFonts w:ascii="Arial" w:cs="Arial" w:eastAsia="Arial" w:hAnsi="Arial"/>
          <w:sz w:val="18"/>
          <w:szCs w:val="18"/>
          <w:color w:val="auto"/>
        </w:rPr>
      </w:pPr>
    </w:p>
    <w:p>
      <w:pPr>
        <w:ind w:left="640" w:right="400" w:hanging="316"/>
        <w:spacing w:after="0" w:line="280"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“Gross Merchandise Volume” or “GMV” is defined as the gross total dollar value of orders received by our merchants and reviewed through our eCommerce risk management platform during the period indicated, including orders that we did not approve.</w:t>
      </w:r>
    </w:p>
    <w:p>
      <w:pPr>
        <w:spacing w:after="0" w:line="12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aforementioned key performance indicators and non-GAAP financial measures are used by management and our board of directors to assess our performance, for financial and operational decision-making, and as a means to evaluate period-to-period comparisons. These measures are frequently used by analysts, investors and other interested parties to evaluate companies in our industry. We believe that these non-GAAP financial measures are appropriate measures of operating performance because they remove the impact of certain items that we believe do not directly reflect our core operations, and permit investors to view performance using the same tools that we use to budget, forecast, make operating and strategic decisions, and evaluate historical performance. Additionally, we provide Free Cash Flow because it is a non-GAAP liquidity measure that we believe provides useful information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6" w:name="page7"/>
    <w:bookmarkEnd w:id="6"/>
    <w:p>
      <w:pPr>
        <w:ind w:right="560"/>
        <w:spacing w:after="0" w:line="251" w:lineRule="auto"/>
        <w:rPr>
          <w:sz w:val="20"/>
          <w:szCs w:val="20"/>
          <w:color w:val="auto"/>
        </w:rPr>
      </w:pPr>
      <w:r>
        <w:rPr>
          <w:rFonts w:ascii="Arial" w:cs="Arial" w:eastAsia="Arial" w:hAnsi="Arial"/>
          <w:sz w:val="18"/>
          <w:szCs w:val="18"/>
          <w:color w:val="auto"/>
        </w:rPr>
        <w:t>and investors about the amount of cash generated by the business that can be used for strategic opportunities, including investing in our business and strengthening our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Share Split</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On July 28, 2021, we effectuated a two-for-one reverse share split of our Class A ordinary shares (the “Reverse Share Split”). No fractional shares have been issued in connection with the Reverse Share Split. The historical financial statements included elsewhere in this Annual Report have been adjusted retroactively for the Reverse Share Split. Unless otherwise indicated, all other share and per share data in this Annual Report has been retroactively adjusted, where applicable, to reflect the Reverse Share Split as if it had occurred at the beginning of the earliest period presented.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Class B Issuance</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Immediately after the effectiveness of the Reverse Share Split, we issued and distributed Class B ordinary shares to holders of the Class A ordinary shares on a two-for-one ratio, such that each holder of Class A ordinary shares received two Class B ordinary shares for each Class A ordinary share (the “Additional Class B Issuance”). The historical financial statements presented prior to the Reverse Share Split included elsewhere in this Annual Report have not been retroactively adjusted for the Additional Class B Issuance.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186"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spacing w:after="0" w:line="15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estimates are derived from publicly available information released by independent third-party sources, as well as data from our internal research, and are based on assumptions made by us upon reviewing such data and our knowledge of our industry, which we believe to be reasonable. Certain statistical data, estimates and forecasts contained elsewhere in this Annual Report have been derived from an independent industry report published by eMarketer, titled “Global Ecommerce Forecast 2022” (February 2, 2022).</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None of the independent industry publications relied upon by us or otherwise referred to in this Annual Report were prepared on our behalf. Although we believe the data from these third-party sources is reliable, we have not independently verified any such information, and these sources generally state that the information they contain has been obtained from sources believed to be reliable but that the accuracy and completeness of such information is not guaranteed. Certain of these publications, studies and reports were published or conducted before the COVID-19 pandemic and therefore do not reflect any impact of COVID-19 on any specific market or globally. In addition, projections, assumptions and estimates of the future performance of the industry in which we operate and our future performance are necessarily subject to uncertainty and risk due to a variety of factors, including those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These and other factors could cause results to differ materially from those expressed in the estimates made by independent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by us.</w:t>
      </w:r>
    </w:p>
    <w:p>
      <w:pPr>
        <w:spacing w:after="0" w:line="158" w:lineRule="exact"/>
        <w:rPr>
          <w:sz w:val="20"/>
          <w:szCs w:val="20"/>
          <w:color w:val="auto"/>
        </w:rPr>
      </w:pPr>
    </w:p>
    <w:p>
      <w:pPr>
        <w:ind w:right="340" w:firstLine="318"/>
        <w:spacing w:after="0" w:line="247" w:lineRule="auto"/>
        <w:rPr>
          <w:sz w:val="20"/>
          <w:szCs w:val="20"/>
          <w:color w:val="auto"/>
        </w:rPr>
      </w:pPr>
      <w:r>
        <w:rPr>
          <w:rFonts w:ascii="Arial" w:cs="Arial" w:eastAsia="Arial" w:hAnsi="Arial"/>
          <w:sz w:val="18"/>
          <w:szCs w:val="18"/>
          <w:color w:val="auto"/>
        </w:rPr>
        <w:t>Certain estimates of market opportunity and forecasts of market growth included elsewhere in this Annual Report may prove to be inaccurate. The market for our products is relatively new and will experience changes over time. The estimates and forecasts in this Annual Report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Annual Report, our business could fail to grow at similar rates,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Trademarks</w:t>
      </w:r>
    </w:p>
    <w:p>
      <w:pPr>
        <w:spacing w:after="0" w:line="186" w:lineRule="exact"/>
        <w:rPr>
          <w:sz w:val="20"/>
          <w:szCs w:val="20"/>
          <w:color w:val="auto"/>
        </w:rPr>
      </w:pPr>
    </w:p>
    <w:p>
      <w:pPr>
        <w:ind w:firstLine="318"/>
        <w:spacing w:after="0" w:line="252" w:lineRule="auto"/>
        <w:rPr>
          <w:sz w:val="20"/>
          <w:szCs w:val="20"/>
          <w:color w:val="auto"/>
        </w:rPr>
      </w:pPr>
      <w:r>
        <w:rPr>
          <w:rFonts w:ascii="Arial" w:cs="Arial" w:eastAsia="Arial" w:hAnsi="Arial"/>
          <w:sz w:val="17"/>
          <w:szCs w:val="17"/>
          <w:color w:val="auto"/>
        </w:rPr>
        <w:t>We have proprietary rights to trademarks used in this Annual Report that are important to our business, including, among others, Riskified and Deco. Solely for convenience, trademarks and trade names referred to in this Annual Report may appear without the “</w:t>
      </w:r>
      <w:r>
        <w:rPr>
          <w:rFonts w:ascii="Arial" w:cs="Arial" w:eastAsia="Arial" w:hAnsi="Arial"/>
          <w:sz w:val="21"/>
          <w:szCs w:val="21"/>
          <w:color w:val="auto"/>
          <w:vertAlign w:val="superscript"/>
        </w:rPr>
        <w:t>®</w:t>
      </w:r>
      <w:r>
        <w:rPr>
          <w:rFonts w:ascii="Arial" w:cs="Arial" w:eastAsia="Arial" w:hAnsi="Arial"/>
          <w:sz w:val="17"/>
          <w:szCs w:val="17"/>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89" w:right="379" w:bottom="1440" w:gutter="0" w:footer="0" w:header="0"/>
        </w:sectPr>
      </w:pPr>
    </w:p>
    <w:bookmarkStart w:id="8" w:name="page9"/>
    <w:bookmarkEnd w:id="8"/>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6" w:lineRule="exact"/>
        <w:rPr>
          <w:sz w:val="20"/>
          <w:szCs w:val="20"/>
          <w:color w:val="auto"/>
        </w:rPr>
      </w:pPr>
    </w:p>
    <w:p>
      <w:pPr>
        <w:ind w:right="60" w:firstLine="318"/>
        <w:spacing w:after="0" w:line="262" w:lineRule="auto"/>
        <w:rPr>
          <w:sz w:val="20"/>
          <w:szCs w:val="20"/>
          <w:color w:val="auto"/>
        </w:rPr>
      </w:pPr>
      <w:r>
        <w:rPr>
          <w:rFonts w:ascii="Arial" w:cs="Arial" w:eastAsia="Arial" w:hAnsi="Arial"/>
          <w:sz w:val="17"/>
          <w:szCs w:val="17"/>
          <w:color w:val="auto"/>
        </w:rPr>
        <w:t>In addition to historical facts, this Annual Report contains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These forward-looking statements are principally contained in the sections entitled Item 3.D. “</w:t>
      </w:r>
      <w:r>
        <w:rPr>
          <w:rFonts w:ascii="Arial" w:cs="Arial" w:eastAsia="Arial" w:hAnsi="Arial"/>
          <w:sz w:val="17"/>
          <w:szCs w:val="17"/>
          <w:i w:val="1"/>
          <w:iCs w:val="1"/>
          <w:color w:val="auto"/>
        </w:rPr>
        <w:t>Key Information</w:t>
      </w:r>
      <w:r>
        <w:rPr>
          <w:rFonts w:ascii="Arial" w:cs="Arial" w:eastAsia="Arial" w:hAnsi="Arial"/>
          <w:sz w:val="17"/>
          <w:szCs w:val="17"/>
          <w:color w:val="auto"/>
        </w:rPr>
        <w:t xml:space="preserve"> — </w:t>
      </w:r>
      <w:r>
        <w:rPr>
          <w:rFonts w:ascii="Arial" w:cs="Arial" w:eastAsia="Arial" w:hAnsi="Arial"/>
          <w:sz w:val="17"/>
          <w:szCs w:val="17"/>
          <w:i w:val="1"/>
          <w:iCs w:val="1"/>
          <w:color w:val="auto"/>
        </w:rPr>
        <w:t>Risk Factors</w:t>
      </w:r>
      <w:r>
        <w:rPr>
          <w:rFonts w:ascii="Arial" w:cs="Arial" w:eastAsia="Arial" w:hAnsi="Arial"/>
          <w:sz w:val="17"/>
          <w:szCs w:val="17"/>
          <w:color w:val="auto"/>
        </w:rPr>
        <w:t>,” Item 4. “</w:t>
      </w:r>
      <w:r>
        <w:rPr>
          <w:rFonts w:ascii="Arial" w:cs="Arial" w:eastAsia="Arial" w:hAnsi="Arial"/>
          <w:sz w:val="17"/>
          <w:szCs w:val="17"/>
          <w:i w:val="1"/>
          <w:iCs w:val="1"/>
          <w:color w:val="auto"/>
        </w:rPr>
        <w:t>Information on the Company</w:t>
      </w:r>
      <w:r>
        <w:rPr>
          <w:rFonts w:ascii="Arial" w:cs="Arial" w:eastAsia="Arial" w:hAnsi="Arial"/>
          <w:sz w:val="17"/>
          <w:szCs w:val="17"/>
          <w:color w:val="auto"/>
        </w:rPr>
        <w:t>,” and Item 5. “</w:t>
      </w:r>
      <w:r>
        <w:rPr>
          <w:rFonts w:ascii="Arial" w:cs="Arial" w:eastAsia="Arial" w:hAnsi="Arial"/>
          <w:sz w:val="17"/>
          <w:szCs w:val="17"/>
          <w:i w:val="1"/>
          <w:iCs w:val="1"/>
          <w:color w:val="auto"/>
        </w:rPr>
        <w:t>Operating and Financial Review and Prospects.</w:t>
      </w:r>
      <w:r>
        <w:rPr>
          <w:rFonts w:ascii="Arial" w:cs="Arial" w:eastAsia="Arial" w:hAnsi="Arial"/>
          <w:sz w:val="17"/>
          <w:szCs w:val="17"/>
          <w:color w:val="auto"/>
        </w:rPr>
        <w:t>” Our estimates and forward-looking statements are mainly based on our management’s current expectations and estimates of future events and trends, which affect or may affect our business, operations, and industry. Although these estimates and forward-looking statements are based upon our management’s current reasonable beliefs and assumptions, they are subject to numerous risks and uncertainties, and are made in light of information currently available to us. Many important factors, in addition to the factors described in this Annual Report, may adversely affect our results as indicated in forward-looking statements. You should read this Annual Report and the documents we have filed as exhibits to the registration statement of which this Annual Report is a part completely, and with the understanding that our actual future results may be materially different and worse from what we expect.</w:t>
      </w:r>
    </w:p>
    <w:p>
      <w:pPr>
        <w:spacing w:after="0" w:line="14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All statements other than statements of historical fact are forward-looking statements. In some cases, these forward-looking statements can be identified by words or phrases such as “may,” “might,” “will,” “could,” “would,” “should,” “expect,” “plan,” “anticipate,” “intend,” “seek,” “believe,” “estimate,” “predict,” “potential,” “continue,” “contemplate,” “possible,” or similar words, as well as their negatives. Statements regarding our future results of operations and financial position, growth strategy and plans and objectives of management for future operations, including, among others, expansion in new and existing markets, development and introductions of new products, capital expenditures and debt service obligations, are forward-looking statements.</w:t>
      </w:r>
    </w:p>
    <w:p>
      <w:pPr>
        <w:spacing w:after="0" w:line="158"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These forward-looking statements are subject to a number of known and unknown risks, uncertainties, other factors and assumptions, including the risks described in Item 3.D. “</w:t>
      </w:r>
      <w:r>
        <w:rPr>
          <w:rFonts w:ascii="Arial" w:cs="Arial" w:eastAsia="Arial" w:hAnsi="Arial"/>
          <w:sz w:val="18"/>
          <w:szCs w:val="18"/>
          <w:i w:val="1"/>
          <w:iCs w:val="1"/>
          <w:color w:val="auto"/>
        </w:rPr>
        <w:t>Key Information — Risk Factors</w:t>
      </w:r>
      <w:r>
        <w:rPr>
          <w:rFonts w:ascii="Arial" w:cs="Arial" w:eastAsia="Arial" w:hAnsi="Arial"/>
          <w:sz w:val="18"/>
          <w:szCs w:val="18"/>
          <w:color w:val="auto"/>
        </w:rPr>
        <w:t>” and elsewhere in this Annual Report.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estimates and forward-looking statements may be influenced by factors, including:</w:t>
      </w:r>
    </w:p>
    <w:p>
      <w:pPr>
        <w:spacing w:after="0" w:line="16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history of net losses;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merchants and retain existing merchants;</w:t>
      </w:r>
    </w:p>
    <w:p>
      <w:pPr>
        <w:spacing w:after="0" w:line="164" w:lineRule="exact"/>
        <w:rPr>
          <w:rFonts w:ascii="Arial" w:cs="Arial" w:eastAsia="Arial" w:hAnsi="Arial"/>
          <w:sz w:val="18"/>
          <w:szCs w:val="18"/>
          <w:color w:val="auto"/>
        </w:rPr>
      </w:pPr>
    </w:p>
    <w:p>
      <w:pPr>
        <w:ind w:left="640" w:right="320" w:hanging="316"/>
        <w:spacing w:after="0" w:line="25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use of credit cards and other payment methods that expose merchants to the risk of payment fraud, and changes in laws and regulations related to use of these payment methods, such as PSD2;</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macroeconomic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improve our machine learning models;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the information of our merchants and consumers;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predict future revenue due to lengthy sales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fluctuations in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merchant concentration;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mitigate the risks involved with selling our products to large enterprises;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the services of our co-founders;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our executive officers and other key personnel;</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attract and retain highly qualified personnel, including software engineers and data scientists, particularly in Israel;</w:t>
      </w:r>
    </w:p>
    <w:p>
      <w:pPr>
        <w:spacing w:after="0" w:line="175" w:lineRule="exact"/>
        <w:rPr>
          <w:rFonts w:ascii="Arial" w:cs="Arial" w:eastAsia="Arial" w:hAnsi="Arial"/>
          <w:sz w:val="17"/>
          <w:szCs w:val="17"/>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limited experience with respect to pricing;</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and maintain high merchant satisfaction;</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third-party providers of cloud-based infrastructure;</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and infrastructure interruptions or performance problems;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machine learning models to accurately detect fraud in down-cycle economic conditions;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efficiency and accuracy of our machine learning models;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proper operation of our machine learning models;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privacy and security laws, regulations, and standards;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lending regulation and oversight;</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regulatory frameworks for machine learning technology;</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open-source software;</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enhance and maintain our brand;</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execute potential acquisitions, strategic investments, partnerships, or alliances;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claims related to the violation of the intellectual property rights of third parties;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our sales force;</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exposure to fluctuations in currency exchange rates;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limited experience managing a public company;</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comply with anti-corruption, trade compliance, and economic sanctions laws and regulations;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enforce non-compete agreements entered into with our employees;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effective systems of disclosure controls and financial reporting;</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estimate or judgements relating to our critical accounting policies;</w:t>
      </w:r>
    </w:p>
    <w:p>
      <w:pPr>
        <w:spacing w:after="0" w:line="164" w:lineRule="exact"/>
        <w:rPr>
          <w:rFonts w:ascii="Arial" w:cs="Arial" w:eastAsia="Arial" w:hAnsi="Arial"/>
          <w:sz w:val="18"/>
          <w:szCs w:val="18"/>
          <w:color w:val="auto"/>
        </w:rPr>
      </w:pPr>
    </w:p>
    <w:p>
      <w:pPr>
        <w:ind w:left="316" w:hanging="316"/>
        <w:spacing w:after="0"/>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159385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96"/>
          </w:cols>
          <w:pgMar w:left="644" w:top="1411" w:right="1059" w:bottom="1440" w:gutter="0" w:footer="0" w:header="0"/>
        </w:sectPr>
      </w:pPr>
    </w:p>
    <w:bookmarkStart w:id="10" w:name="page11"/>
    <w:bookmarkEnd w:id="10"/>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future requirements to collect sales or other taxes;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future changes in the taxation of international business and corporate tax reform;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and application of insurance laws or regulations; and</w:t>
      </w:r>
    </w:p>
    <w:p>
      <w:pPr>
        <w:spacing w:after="0" w:line="146"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other matters described in the section entitled Item 3.D. “</w:t>
      </w:r>
      <w:r>
        <w:rPr>
          <w:rFonts w:ascii="Arial" w:cs="Arial" w:eastAsia="Arial" w:hAnsi="Arial"/>
          <w:sz w:val="18"/>
          <w:szCs w:val="18"/>
          <w:i w:val="1"/>
          <w:iCs w:val="1"/>
          <w:color w:val="auto"/>
        </w:rPr>
        <w:t>Key Information — Risk Factors</w:t>
      </w:r>
      <w:r>
        <w:rPr>
          <w:rFonts w:ascii="Arial" w:cs="Arial" w:eastAsia="Arial" w:hAnsi="Arial"/>
          <w:sz w:val="18"/>
          <w:szCs w:val="18"/>
          <w:color w:val="auto"/>
        </w:rPr>
        <w:t>.”</w:t>
      </w:r>
    </w:p>
    <w:p>
      <w:pPr>
        <w:spacing w:after="0" w:line="182"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light of the significant uncertainties in these forward-looking statements, you should not regard these statements as a representation or warranty by us or any other person that we will achieve our objectives and plans in any specified time period or at all.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those contained in any estimates or forward-looking statements. We qualify all of our estimates and forward-looking statements by these cautionary statements.</w:t>
      </w:r>
    </w:p>
    <w:p>
      <w:pPr>
        <w:spacing w:after="0" w:line="15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estimates and forward-looking statements contained in this Annual Report speak only as of the date of this Annual Report. Except as required by applicable law, we undertake no obligation to publicly update or revise any estimates or forward-looking statements contained in this Annual Report, whether as a result of any new information, future events, or otherwise, or to reflect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 w:name="page12"/>
    <w:bookmarkEnd w:id="11"/>
    <w:p>
      <w:pPr>
        <w:spacing w:after="0" w:line="10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Selected Financial Data</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Reserved.</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Capitalization and Indebtedness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 Risk Factors</w:t>
      </w:r>
    </w:p>
    <w:p>
      <w:pPr>
        <w:spacing w:after="0" w:line="16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Annual Report before making a decision to invest in our Class A ordinary shares. Additional risks and uncertainties not presently known to us, or that we currently deem immaterial, may also impair our business operations. Our business, financial condition, or results of operations could be materially and adversely affected by any of these risks and uncertainties. The trading price and value of our Class A ordinary shares could decline due to any of these risks and uncertainties, and you may lose all or part of your investment. This Annual Report also contains forward-looking statements that involve risks and uncertainties. See “Cautionary Note Regarding Forward-Looking Statements.” Our actual results could differ materially from those anticipated in these forward-looking statements as a result of certain factors, including the risks and uncertainties faced by us described below and elsewhere in this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64" w:lineRule="exact"/>
        <w:rPr>
          <w:sz w:val="20"/>
          <w:szCs w:val="20"/>
          <w:color w:val="auto"/>
        </w:rPr>
      </w:pPr>
    </w:p>
    <w:p>
      <w:pPr>
        <w:ind w:right="800"/>
        <w:spacing w:after="0" w:line="276" w:lineRule="auto"/>
        <w:rPr>
          <w:sz w:val="20"/>
          <w:szCs w:val="20"/>
          <w:color w:val="auto"/>
        </w:rPr>
      </w:pPr>
      <w:r>
        <w:rPr>
          <w:rFonts w:ascii="Arial" w:cs="Arial" w:eastAsia="Arial" w:hAnsi="Arial"/>
          <w:sz w:val="18"/>
          <w:szCs w:val="18"/>
          <w:b w:val="1"/>
          <w:bCs w:val="1"/>
          <w:i w:val="1"/>
          <w:iCs w:val="1"/>
          <w:color w:val="auto"/>
        </w:rPr>
        <w:t>We have a limited operating history and have experienced rapid growth. If we fail to manage our growth effectively, then our revenues, results of operations, and financial condition may be adversely affected.</w:t>
      </w:r>
    </w:p>
    <w:p>
      <w:pPr>
        <w:spacing w:after="0" w:line="12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have experienced substantial growth in our business since inception in 2012. Our revenue was $229.1 million and $169.7 million for the years ended December 31, 2021 and 2020, respectively, representing an increase of 35% from 2020 to 2021. Our historical revenue growth may not be sustainable and should not be considered indicative of our future performance. Since launching our business, we have frequently expanded our products and changed our pricing methodologies. This limited operating history and our rapid growth make it difficult to evaluate our future prospects and the risks and challenges we may encounter. These risks and challenges include our ability to:</w:t>
      </w:r>
    </w:p>
    <w:p>
      <w:pPr>
        <w:spacing w:after="0" w:line="15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accurately forecast our revenue and plan our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the number of new merchants and retain existing merchants using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compete with current and future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expand our business in existing markets, and enter new markets and geographies;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anticipate and respond to macroeconomic changes and changes in the markets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accurately adjust our pricing structures for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to rapidly evolving trends in the ways merchants and consumers interact with technology;</w:t>
      </w:r>
    </w:p>
    <w:p>
      <w:pPr>
        <w:spacing w:after="0" w:line="164" w:lineRule="exact"/>
        <w:rPr>
          <w:rFonts w:ascii="Arial" w:cs="Arial" w:eastAsia="Arial" w:hAnsi="Arial"/>
          <w:sz w:val="18"/>
          <w:szCs w:val="18"/>
          <w:color w:val="auto"/>
        </w:rPr>
      </w:pPr>
    </w:p>
    <w:p>
      <w:pPr>
        <w:ind w:left="640" w:right="18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accurately predict projected chargeback expenses, especially if new fraud patterns develop more quickly than our ability to detect and block new fraud patterns;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avoid interruptions or disruptions to our service;</w:t>
      </w:r>
    </w:p>
    <w:p>
      <w:pPr>
        <w:spacing w:after="0" w:line="164" w:lineRule="exact"/>
        <w:rPr>
          <w:rFonts w:ascii="Arial" w:cs="Arial" w:eastAsia="Arial" w:hAnsi="Arial"/>
          <w:sz w:val="18"/>
          <w:szCs w:val="18"/>
          <w:color w:val="auto"/>
        </w:rPr>
      </w:pPr>
    </w:p>
    <w:p>
      <w:pPr>
        <w:ind w:left="640" w:right="18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 scalable, high-performance technology infrastructure that can efficiently and reliably handle increased usage, as well as the deployment of new features and products;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integrate, and retain talented technology, sales, and other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manage rapid growth in our personnel and operations.</w:t>
      </w:r>
    </w:p>
    <w:p>
      <w:pPr>
        <w:spacing w:after="0" w:line="164"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If we fail to address the risks and difficulties we face, including those associated with the challenges listed above as well as those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financial condition, and results of operations could be adversely affected.</w:t>
      </w:r>
    </w:p>
    <w:p>
      <w:pPr>
        <w:spacing w:after="0" w:line="15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addition, while our operations have been and may continue to be impacted by the COVID-19 pandemic and its related restrictions, the onset of the COVID-19 pandemic greatly accelerated existing trends of consumers moving online and our merchants prioritizing digital channels, due, in part, to the shutdown of brick-and-mortar stores, social distancing measures, and travel restrictions which have diverted spending previously conducted in physical stores to the online space. Consumers diverting spending to eCommerce platforms has created a substantial growth opportunity for us. Although, to date, the accelerated migration towards eCommerce as a result of the COVID-19 pandemic has had a generally positive impact on our growth and business, there are certain sectors, including travel and ticketing, from which we have historically derived significant revenues, that continue to be negatively impacted by COVID-19 related measures and restrictions. The timeframe for recovery of these negatively affected sectors to pre-pandemic levels, in particular travel and ticketing, remains unclear. Further, increased levels of eCommerce have been accompanied by more sophisticated fraud organizations and schemes, which may be more difficult for our products to detect. There continues to be significant uncertainty regarding future developments, including relating to the identification and severity of new COVID-19 variants, and local and global reopening plans. While we expect that the increased eCommerce adoption resulting from the COVID-19 pandemic will be maintained, we have seen, and expect to continue to see some return to spending in physical stores and an associated slow-down in year-over-year eCommerce growth, as restrictions begin to ease.</w:t>
      </w:r>
    </w:p>
    <w:p>
      <w:pPr>
        <w:spacing w:after="0" w:line="135"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We have a history of net losses and, as we anticipate increasing operating expenses in the future, we may not be able to achieve profitability.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been profitable since our inception in 2012 and have incurred significant net losses in prior years, including net losses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$178.9 million and $11.3 million for the years ended December 31, 2021 and 2020, respectively. Because the market for our products is rapidly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evolving, it is difficult for us to predict our future results of operations or the limits of our market opportunity. In particular, our ability to achieve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profitability will depend, in part, on our ability to effectively manage and decrease our chargeback expenses, which is dependent on our ability to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improve the accuracy of our products. The accuracy of our products is, in part, driven by the amount of information we are able to obtain from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processing transactions. We also expect our operating expenses to significantly increase over the next several years as we hire additional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personnel (and as a result of increasing costs of labor), expand our partnerships, operations, and infrastructure, continue to enhance our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products, and increase our spending on sales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 w:name="page14"/>
    <w:bookmarkEnd w:id="13"/>
    <w:p>
      <w:pPr>
        <w:spacing w:after="0" w:line="246" w:lineRule="auto"/>
        <w:rPr>
          <w:sz w:val="20"/>
          <w:szCs w:val="20"/>
          <w:color w:val="auto"/>
        </w:rPr>
      </w:pPr>
      <w:r>
        <w:rPr>
          <w:rFonts w:ascii="Arial" w:cs="Arial" w:eastAsia="Arial" w:hAnsi="Arial"/>
          <w:sz w:val="18"/>
          <w:szCs w:val="18"/>
          <w:color w:val="auto"/>
        </w:rPr>
        <w:t>marketing. In addition, higher rates of inflation in the U.S. and globally have impacted, and may continue to impact our costs of labor and the prices at which we are able to acquire goods and services from third-party vendors on which we rely. We intend to continue enhancing our existing products and may develop and introduce new products through internal research and development, and we may also selectively pursue acquisitions. In addition, as we continue to grow after becoming a public company, we will incur additional significant legal, accounting, and other public company-related expenses that we did not incur as a private company. These efforts may prove more expensive than we currently anticipate. As a result of these increased expenditures, we will have to generate and sustain increased revenue to offset our operating expenses and achieve and maintain profitability.</w:t>
      </w:r>
    </w:p>
    <w:p>
      <w:pPr>
        <w:spacing w:after="0" w:line="136"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b w:val="1"/>
          <w:bCs w:val="1"/>
          <w:i w:val="1"/>
          <w:iCs w:val="1"/>
          <w:color w:val="auto"/>
        </w:rPr>
        <w:t>If we are unable to attract new merchants, retain existing merchants or increase sales of our products to existing merchants, our business, financial condition and results of operations may be adversely affected.</w:t>
      </w:r>
    </w:p>
    <w:p>
      <w:pPr>
        <w:spacing w:after="0" w:line="12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growth is dependent on our ability to continue attracting new merchants while retaining existing merchants and expanding the products we sell to them. In particular, if we are not able to attract new merchants and increase the amount of transactions we process within our existing merchant network, we may not be able to continue to improve our products. Growth in the demand for our products may also be inhibited, and we may be unable to grow our merchant base for a number of reasons, including, but not limited to:</w:t>
      </w:r>
    </w:p>
    <w:p>
      <w:pPr>
        <w:spacing w:after="0" w:line="155" w:lineRule="exact"/>
        <w:rPr>
          <w:sz w:val="20"/>
          <w:szCs w:val="20"/>
          <w:color w:val="auto"/>
        </w:rPr>
      </w:pPr>
    </w:p>
    <w:p>
      <w:pPr>
        <w:ind w:left="640" w:right="140" w:hanging="316"/>
        <w:spacing w:after="0" w:line="24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develop or offer new or enhanced products in a timely manner that are comparable with, or superior to, new technologies or competitor offerings, and that meet the evolving needs of our merchants and changes in the regulatory environment in which we operate;</w:t>
      </w:r>
    </w:p>
    <w:p>
      <w:pPr>
        <w:spacing w:after="0" w:line="153" w:lineRule="exact"/>
        <w:rPr>
          <w:rFonts w:ascii="Arial" w:cs="Arial" w:eastAsia="Arial" w:hAnsi="Arial"/>
          <w:sz w:val="18"/>
          <w:szCs w:val="18"/>
          <w:color w:val="auto"/>
        </w:rPr>
      </w:pPr>
    </w:p>
    <w:p>
      <w:pPr>
        <w:ind w:left="640" w:right="30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providing or maintaining a high level of merchant satisfaction, which could cause our existing merchants to terminate their relationship with us or stop referring prospective merchants to us;</w:t>
      </w:r>
    </w:p>
    <w:p>
      <w:pPr>
        <w:spacing w:after="0" w:line="150" w:lineRule="exact"/>
        <w:rPr>
          <w:rFonts w:ascii="Arial" w:cs="Arial" w:eastAsia="Arial" w:hAnsi="Arial"/>
          <w:sz w:val="18"/>
          <w:szCs w:val="18"/>
          <w:color w:val="auto"/>
        </w:rPr>
      </w:pPr>
    </w:p>
    <w:p>
      <w:pPr>
        <w:ind w:left="640" w:right="60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our merchant churn rates, including churn of significant merchants from whom we derive a significant percent of our revenue;</w:t>
      </w:r>
    </w:p>
    <w:p>
      <w:pPr>
        <w:spacing w:after="0" w:line="150"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or actual security, availability, integrity, privacy, reliability, quality, or compatibility problems with our products, including related to unscheduled downtime, outages, or network security breaches; and</w:t>
      </w:r>
    </w:p>
    <w:p>
      <w:pPr>
        <w:spacing w:after="0" w:line="150" w:lineRule="exact"/>
        <w:rPr>
          <w:rFonts w:ascii="Arial" w:cs="Arial" w:eastAsia="Arial" w:hAnsi="Arial"/>
          <w:sz w:val="18"/>
          <w:szCs w:val="18"/>
          <w:color w:val="auto"/>
        </w:rPr>
      </w:pPr>
    </w:p>
    <w:p>
      <w:pPr>
        <w:ind w:left="640" w:right="16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or increased competition in our industry, including greater marketing efforts or investments by our competitors in advertising and promoting their brands or in product development.</w:t>
      </w:r>
    </w:p>
    <w:p>
      <w:pPr>
        <w:spacing w:after="0" w:line="150"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Our future success depends, in part, on our ability to sell additional products to our existing merchants. If our merchants do not purchase additional products from us, or do not renew their agreements upon expiration, our business, financial condition, and results of operations may be adversely affected.</w:t>
      </w:r>
    </w:p>
    <w:p>
      <w:pPr>
        <w:spacing w:after="0" w:line="153"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Our merchant expansions and renewals may decline or fluctuate as a result of a number of factors, including merchant usage, merchant satisfaction with our products and eCommerce risk management platform capabilities and merchant support, our prices, the prices of competing products, mergers and acquisitions affecting our merchant base, consolidation of affiliates’ multiple paid business accounts into a single paid business account, the effects of global economic conditions, or reductions in our merchants’ spending levels generally. These factors may be exacerbated if, consistent with our growth strategy, our merchant base continues to grow to encompass large online enterprises.</w:t>
      </w:r>
    </w:p>
    <w:p>
      <w:pPr>
        <w:spacing w:after="0" w:line="11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are dependent upon the continued use of credit cards and other payment methods that expose our merchant to the risk of payment fraud as a primary means of payment for eCommerce transactions. Changes in laws and regulations related to use of these types of payment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 w:name="page15"/>
    <w:bookmarkEnd w:id="14"/>
    <w:p>
      <w:pPr>
        <w:ind w:right="140"/>
        <w:spacing w:after="0" w:line="261" w:lineRule="auto"/>
        <w:rPr>
          <w:sz w:val="20"/>
          <w:szCs w:val="20"/>
          <w:color w:val="auto"/>
        </w:rPr>
      </w:pPr>
      <w:r>
        <w:rPr>
          <w:rFonts w:ascii="Arial" w:cs="Arial" w:eastAsia="Arial" w:hAnsi="Arial"/>
          <w:sz w:val="18"/>
          <w:szCs w:val="18"/>
          <w:b w:val="1"/>
          <w:bCs w:val="1"/>
          <w:i w:val="1"/>
          <w:iCs w:val="1"/>
          <w:color w:val="auto"/>
        </w:rPr>
        <w:t>including card scheme rules and PSD2, or the general public’s use of such payment methods has, and may in the future continue to reduce or change the use cases for our products, and has and could continue to adversely affect our revenues, our results of operations and financial condition.</w:t>
      </w:r>
    </w:p>
    <w:p>
      <w:pPr>
        <w:spacing w:after="0" w:line="142"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The future success of our business depends upon the continued use of credit cards and other payment methods that expose our merchants to the risk of payment fraud, as a primary means to pay for online purchases and conduct commercial transactions. Federal, state or foreign government bodies or agencies have in the past adopted, and may in the future adopt, laws or regulations affecting the use of such payment methods, and in particular with respect to card-not-present transactions. In addition, card schemes such as Visa, MasterCard and American Express, impose rules and other requirements on participants in the payment chain. Changes in these laws, regulations or card scheme rules could require us to modify our products in order to comply with these changes. In addition, the adoption of regulations intended to reduce fraudulent transactions, that will shift the liability for fraudulent transactions away from merchants and on to other participants in the payment chain, and other rules and regulations related to the use of credit cards may adversely affects the use cases and demand for our products, our business, financial condition, and results of operations or require us to make changes to our business and strategies. For example, the revised European Payment Services Directive (Directive (EU) 2015/2366; PSD2) imposes new standards for payment security and strong customer authentication and shifts the liability for online payment fraud for certain types of transactions involving European issuing banks further towards issuing banks and away from online merchants. This impacts the demand for our chargeback guarantee product since this offering protects our existing merchants from fraud related chargebacks that they may no longer be liable for. Billings generated from transactions with European consumers constitutes approximately 15% of our Billings for the year ended December 31, 2021 and 2020. Absent additional changes in the composition of our Billings, we expect that the percentage of our GMV attributable to European consumers will decline as compared to periods prior to the implementation of PSD2. Based on the information available to us, we believe that transactions with European consumers are indicative of transactions originating with European issuing banks, which may be subject to the SCA requirements of PSD2 if relevant additional criteria are also fulfilled. Consumer location is determined by the IP address of the consumer. If an IP address is unavailable, location is determined by shipping address, then bank identification number, then billing address. Additionally, countries that are EU members may each have different and potentially inconsistent domestic regulations implementing PSD2 and other European Directives, which may increase our costs and operational complexity. PSD2 and other rules and regulations related to the use of credit cards has and may continue to adversely affect our business, financial condition, and results of operations or require us to make changes to our business and strategies.</w:t>
      </w:r>
    </w:p>
    <w:p>
      <w:pPr>
        <w:spacing w:after="0" w:line="146" w:lineRule="exact"/>
        <w:rPr>
          <w:sz w:val="20"/>
          <w:szCs w:val="20"/>
          <w:color w:val="auto"/>
        </w:rPr>
      </w:pPr>
    </w:p>
    <w:p>
      <w:pPr>
        <w:ind w:right="240" w:firstLine="318"/>
        <w:spacing w:after="0" w:line="246" w:lineRule="auto"/>
        <w:rPr>
          <w:sz w:val="20"/>
          <w:szCs w:val="20"/>
          <w:color w:val="auto"/>
        </w:rPr>
      </w:pPr>
      <w:r>
        <w:rPr>
          <w:rFonts w:ascii="Arial" w:cs="Arial" w:eastAsia="Arial" w:hAnsi="Arial"/>
          <w:sz w:val="18"/>
          <w:szCs w:val="18"/>
          <w:color w:val="auto"/>
        </w:rPr>
        <w:t>Further, we depend upon the general public’s continued willingness to use credit cards and other payment methods that expose our merchants to the risk of payment fraud as a primary means to pay for online purchases and conduct commercial transactions. While we regularly review and guarantee transactions completed using alternative eCommerce payment methods, such as Apple Pay and Paypal, increased adoption by our merchants and by the general public of these and other alternative payment methods, such as “buy now pay later” services or cryptocurrencies, which may also include native fraud management features, may reduce the attractiveness of our products and may adversely affect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impacted, to a significant extent, by macroeconomic conditions and the financial performance of our merchants.</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business, the eCommerce retail sector, and our merchants’ businesses are sensitive to macroeconomic conditions. Economic factors, such as interest rates, inflation, currency exchange rates, changes in monetary and related policies, market volatility, consumer confidence, supply chain issues and unemployment rates, are among the most significant factors that impact consumer spending behavior. Weak economic conditions or a significant deterioration in economic conditions, including recession, may reduce the amount of disposable income consumers have, which, in turn, reduces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8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consumer spending and would have an adverse effect on our business, financial condition, and results of operations.</w:t>
      </w:r>
    </w:p>
    <w:p>
      <w:pPr>
        <w:spacing w:after="0" w:line="164" w:lineRule="exact"/>
        <w:rPr>
          <w:sz w:val="20"/>
          <w:szCs w:val="20"/>
          <w:color w:val="auto"/>
        </w:rPr>
      </w:pPr>
    </w:p>
    <w:p>
      <w:pPr>
        <w:ind w:right="100" w:firstLine="318"/>
        <w:spacing w:after="0" w:line="262" w:lineRule="auto"/>
        <w:rPr>
          <w:sz w:val="20"/>
          <w:szCs w:val="20"/>
          <w:color w:val="auto"/>
        </w:rPr>
      </w:pPr>
      <w:r>
        <w:rPr>
          <w:rFonts w:ascii="Arial" w:cs="Arial" w:eastAsia="Arial" w:hAnsi="Arial"/>
          <w:sz w:val="17"/>
          <w:szCs w:val="17"/>
          <w:color w:val="auto"/>
        </w:rPr>
        <w:t>In addition, the COVID-19 pandemic has had, and continues to have, a significant impact on the national economy and the communities in which we operate. The pandemic’s effect on the macroeconomic environment, including the inflationary impacts of, among other things, governmental stimulus or fiscal policies adopted in response to the COVID-19 pandemic, has yet to be fully determined and depends on future developments that cannot be predicted at this time, such as vaccine and booster rollout, vaccine hesitancy, severity and transmission rates of the virus and its current and future variants, and could continue for months or years. Any prolonged economic downturn with sustained high unemployment rates would lead to decreased retail consumption, and may materially decrease our merchants’ transaction volume, which, in turn, impacts the volume of transactions available for us to review for fraud. Similarly, external macroeconomic factors and business conditions including global supply chain disruptions, such as those experienced in many industries in the second half of 2021, may result in shortages of raw products and prolonged shipping and delivery times for consumer goods. This may in turn lead to decreased eCommerce transaction volumes as consumers instead opt to purchase stock-on-hand from bricks-and-mortar retailers, rather than transact through digital channels. Any reduction in our merchants’ transaction volume directly impacts the fees we receive from them and, if such reduction continues for a prolonged period, would have a material adverse effect on our business, financial condition and results of operations.</w:t>
      </w:r>
    </w:p>
    <w:p>
      <w:pPr>
        <w:spacing w:after="0" w:line="14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ability to review transactions for fraud, and the fees due to us associated with providing such products, depends upon sales of products and services by our merchants. Our merchants’ sales may decrease or fail to increase as a result of factors outside of their control, such as the macroeconomic conditions referenced above, or business conditions affecting a particular industry vertical or region. Weak economic conditions could also extend the length of our merchants’ sales cycles, and cause consumers to delay making (or not make) purchases of our merchants’ products and services. Even in the absence of macroeconomic factors, the performance of our merchants directly impacts our business, and, as a result, if the financial performance of a merchant is negatively impacted for reasons specific to such merchant, we will also be negatively impacted. The decline of sales by our merchants results in lower revenue for us. Alternatively, a reduction in online engagement at the macroeconomic level or for any individual merchant of ours, including due to a general decrease in online spending, a result of consumers re-prioritizing traditional non eCommerce channels due to the easing of COVID-19-related restrictions, or a decreased demand for any of our merchants’ products or services for whatever reason could lead to a decrease in our merchants’ eCommerce revenues, which, in turn, may harm our revenues, or may reduce the attractiveness of our products.</w:t>
      </w:r>
    </w:p>
    <w:p>
      <w:pPr>
        <w:spacing w:after="0" w:line="135" w:lineRule="exact"/>
        <w:rPr>
          <w:sz w:val="20"/>
          <w:szCs w:val="20"/>
          <w:color w:val="auto"/>
        </w:rPr>
      </w:pPr>
    </w:p>
    <w:p>
      <w:pPr>
        <w:ind w:right="540"/>
        <w:spacing w:after="0" w:line="307" w:lineRule="auto"/>
        <w:rPr>
          <w:sz w:val="20"/>
          <w:szCs w:val="20"/>
          <w:color w:val="auto"/>
        </w:rPr>
      </w:pPr>
      <w:r>
        <w:rPr>
          <w:rFonts w:ascii="Arial" w:cs="Arial" w:eastAsia="Arial" w:hAnsi="Arial"/>
          <w:sz w:val="17"/>
          <w:szCs w:val="17"/>
          <w:b w:val="1"/>
          <w:bCs w:val="1"/>
          <w:i w:val="1"/>
          <w:iCs w:val="1"/>
          <w:color w:val="auto"/>
        </w:rPr>
        <w:t>If we are unable to continue to improve our machine learning models or if our machine learning models contain errors or are otherwise ineffective, our growth prospects, business, financial condition, and results of operations may be adversely affected.</w:t>
      </w:r>
    </w:p>
    <w:p>
      <w:pPr>
        <w:spacing w:after="0" w:line="10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products are based on our machine learning models and our ability to attract new merchants, retain existing merchants, or increase sales of our products to existing merchants will depend in large part on our ability to maintain a high degree of accuracy and automation in our automated decisioning process. If our machine learning models fail to accurately detect fraud, or any of the other components of our automated decisioning process fail, we may experience higher than forecasted chargebacks and our ability to attract new merchants, retain existing merchants or increase sales of our products to existing merchants and our business, financial condition, and results of operations may be adversely affected.</w:t>
      </w:r>
    </w:p>
    <w:p>
      <w:pPr>
        <w:spacing w:after="0" w:line="15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Our machine learning models are designed to analyze data attributes in order to identify complex transaction and behavior patterns, which enables us to detect fraud and illegitimate consumers quickly and accurately. Our ability to continuously improve and train these models means that we are capable of doing so, even as methods of committing fraud evolve and become more sophisticated. However, it is possible that our machine learning models may prove to be less accurate than we expect, or than they have been in the past, for a variety of reasons, including inaccurate assumptions or other errors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16" w:name="page17"/>
    <w:bookmarkEnd w:id="16"/>
    <w:p>
      <w:pPr>
        <w:ind w:right="20"/>
        <w:spacing w:after="0" w:line="246" w:lineRule="auto"/>
        <w:rPr>
          <w:sz w:val="20"/>
          <w:szCs w:val="20"/>
          <w:color w:val="auto"/>
        </w:rPr>
      </w:pPr>
      <w:r>
        <w:rPr>
          <w:rFonts w:ascii="Arial" w:cs="Arial" w:eastAsia="Arial" w:hAnsi="Arial"/>
          <w:sz w:val="18"/>
          <w:szCs w:val="18"/>
          <w:color w:val="auto"/>
        </w:rPr>
        <w:t>building or training such models, incorrect interpretations of the results of such models, increased fraud sophistication beyond the capabilities of our machine learning models, and failure to timely update model assumptions and parameters. In addition, our machine learning models may initially be less accurate following expansion into new verticals and use-cases, such as review of Automated Clearing House (“ACH”) payments. Further, the successful performance of our machine learning models relies on the ability to constantly review and process large amounts of transactions and other data. If we are unable to attract new merchants, retain existing merchants or increase sales of our products to existing merchants, or if our merchants do not provide us with access to a significant volume of their transaction data, the amount of data reviewed and processed by our machine learning models will be reduced or fail to grow at a pace that will allow us to continue to improve the efficiency of our machine learning models, which may reduce the accuracy of such models. Additionally, such models may not be able to effectively account for matters that are inherently difficult to predict or are otherwise beyond our control, such as social engineering and other methods of perpetrating fraud that do not lend themselves well to risk-based analysis. Material errors or inaccuracies in such machine learning models could lead us to make inaccurate or sub-optimal operational or strategic decisions, which could adversely affect our business, financial condition and results of operations.</w:t>
      </w:r>
    </w:p>
    <w:p>
      <w:pPr>
        <w:spacing w:after="0" w:line="135"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b w:val="1"/>
          <w:bCs w:val="1"/>
          <w:i w:val="1"/>
          <w:iCs w:val="1"/>
          <w:color w:val="auto"/>
        </w:rPr>
        <w:t>Our products enable the collection and storage of personal, confidential or proprietary information of our merchants and their consumers, and security concerns could result in liability to us or inhibit sales of our products.</w:t>
      </w:r>
    </w:p>
    <w:p>
      <w:pPr>
        <w:spacing w:after="0" w:line="129"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Our operations involve the storage, transmission and processing of our merchants’ and their consumers’ confidential proprietary data, which can include personal information. While we have developed systems and processes to protect the integrity, confidentiality and security of such data, our security measures or those of our third-party service providers, including, but not limited to, the third-party providers of cloud-based infrastructure, or Public Cloud Providers, could fail and result in unauthorized access to or disclosure, modification, misuse, loss or destruction of such data. Any security breaches, computer malware, ransomware or extortion based attack, or computer hacking attacks experienced by us or by our third-party service providers, could expose us to a risk of loss of personal, confidential or proprietary information, loss of business, severe reputational damage adversely affecting merchant or investor confidence, regulatory investigations and orders, litigation, indemnity obligations, damages for contract breach, fines and penalties for violation of applicable laws or regulations, and significant costs for remediation and incentives offered to merchants or other business partners in an effort to maintain business relationships after a breach, and other liabilities.</w:t>
      </w:r>
    </w:p>
    <w:p>
      <w:pPr>
        <w:spacing w:after="0" w:line="14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experienced and expect to continue to experience actual and attempted cyber-attacks of our IT networks, such as through phishing scams and ransomware. Although none of these actual or attempted cyber-attacks has had a material adverse impact on our operations or financial condition, we cannot guarantee that such incidents will not have such an impact in the future. Cyberattacks and other malicious Internet-based activity continue to increase generally and many companies that provide cloud-based services have reported a significant increase in cyberattack activity since the beginning of the COVID-19 pandemic. If our products or security measures are perceived as weak or are actually compromised as a result of third-party action, employee or merchant error, malfeasance, stolen or fraudulently-obtained log-in credentials, or otherwise, our merchants may curtail or stop using our products, our reputation could be damaged, our business may be adversely affected, and we could incur significant liability. We may be unable to anticipate or prevent techniques used to obtain unauthorized access to or to sabotage systems because they change frequently and generally are not detected until after an incident has occurred. As adoption of our products by merchants continues to increase and our brand becomes more widely known and recognized, we may become more of a target for third parties seeking to compromise our security systems or gain unauthorized access to our merchants’ data. Moreover, if a high-profile security breach occurs with respect to another cloud platform provider, our merchants and potential merchant customers may lose trust in the security of cloud platforms generally, which could adversely impact our ability to retain existing merchants or attract new ones. We experience cyberattacks and other security incidents of varying degrees from time to time, though none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 w:name="page18"/>
    <w:bookmarkEnd w:id="17"/>
    <w:p>
      <w:pPr>
        <w:ind w:right="80"/>
        <w:spacing w:after="0" w:line="247" w:lineRule="auto"/>
        <w:rPr>
          <w:sz w:val="20"/>
          <w:szCs w:val="20"/>
          <w:color w:val="auto"/>
        </w:rPr>
      </w:pPr>
      <w:r>
        <w:rPr>
          <w:rFonts w:ascii="Arial" w:cs="Arial" w:eastAsia="Arial" w:hAnsi="Arial"/>
          <w:sz w:val="18"/>
          <w:szCs w:val="18"/>
          <w:color w:val="auto"/>
        </w:rPr>
        <w:t>individually or in the aggregate has led to costs or consequences which have materially impacted our business, financial condition, or results of our operations. While we continue to implement controls and plans for preventative actions to further strengthen our systems against future attacks, we cannot assure you that such measures will provide adequate security, that we will be able to react in a timely manner, or that our remediation efforts following past or future attacks will be successful.</w:t>
      </w:r>
    </w:p>
    <w:p>
      <w:pPr>
        <w:spacing w:after="0" w:line="15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If we are not able to detect activity on our eCommerce risk management platform that might be nefarious in nature or if we are not able to design processes or systems to reduce the impact of similar activity on a platform of a third-party service provider, our merchants could suffer harm. In such cases, we could face exposure to legal claims, particularly if a merchant suffers actual harm. We cannot assure you that any limitation of liability provisions in our contracts for a security lapse or breach would be enforceable, adequate or would otherwise protect us from any liabilities or damages with respect to any particular claim related to such lapse or breach.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Our existing general liability and cyber liability insurance policies may not cover, or may cover only a portion of, any potential claims related to security lapses or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which could therefore have a material adverse effect on our business, financial condition and results of operations.</w:t>
      </w:r>
    </w:p>
    <w:p>
      <w:pPr>
        <w:spacing w:after="0" w:line="13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b w:val="1"/>
          <w:bCs w:val="1"/>
          <w:i w:val="1"/>
          <w:iCs w:val="1"/>
          <w:color w:val="auto"/>
        </w:rPr>
        <w:t>Lengthy sales cycles with large enterprises make it difficult to predict our future revenue and may cause variability in our operating results.</w:t>
      </w:r>
    </w:p>
    <w:p>
      <w:pPr>
        <w:spacing w:after="0" w:line="12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sales cycle can vary substantially from merchant to merchant, but with large enterprises it typically requires 25 to 55 weeks on average from the time we designate a merchant as a sales qualified lead, or SQL, to execution of an agreement with that merchant. Our ability to forecast revenue accurately is affected by our ability to forecast new merchant acquisitions. Lengthy sales cycles make it difficult to predict the quarter in which revenue from a new merchant may first be recognized. If we overestimate new merchant growth in a particular period or generally, our revenue will not grow as quickly as our estimates, our costs and expenses may continue to exceed our revenue, and our results of operations will be adversely affected. In addition, we may not meet or may be required to revise guidance that we have provided to the public, if any.</w:t>
      </w:r>
    </w:p>
    <w:p>
      <w:pPr>
        <w:spacing w:after="0" w:line="158"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In addition, we plan our operating budget, including sales and marketing expenses, and our hiring needs, in part, on our forecasts of new merchant growth and future sales. If new merchant growth or sales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spacing w:after="0" w:line="13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have experienced in the past, and expect to continue to experience, seasonal fluctuations in our revenues. If we fail to accommodate increased volumes during peak seasons and events, our business, financial condition, and results of operations may be adversely affected.</w:t>
      </w:r>
    </w:p>
    <w:p>
      <w:pPr>
        <w:spacing w:after="0" w:line="142"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Our business is seasonal in nature and our GMV and revenues are typically highest in the calendar fourth quarter. Our revenue is directly correlated with the level of revenue that our merchants generate, and our merchants typically generate the most revenue in the calendar fourth quarter, which includes Black Friday, Cyber Monday, the holiday season, and other peak events included in the eCommerce calendar, such as Chinese Singles’ Day and Thanksgiving. Our gross profit margin follows a similar trend. For the years ended December 31, 2021 and 2020, calendar fourth quarter revenue represented approximately 30% and 34% of our total revenues, respectively. As a result, our revenue will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decline in the calendar first quarter of each year relative to the calendar fourth quarter of the previous year.</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Any disruption in our products, especially during the calendar fourth quarter, could have a negative effect on our operating results. Surges in volumes during peak periods may strain our technological infrastructure and merchant support activities which may reduce our revenue and the attractiveness of our products.</w:t>
      </w:r>
    </w:p>
    <w:p>
      <w:pPr>
        <w:spacing w:after="0" w:line="15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Any disruption to our operations or the operations of our merchants could lead to a material decrease in revenues relative to our expectations for the calendar fourth quarter which could result in a significant shortfall in revenue, results of operations and operating cash flows for the full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Competition presents an ongoing threat to the success of our business.</w:t>
      </w:r>
    </w:p>
    <w:p>
      <w:pPr>
        <w:spacing w:after="0" w:line="18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We operate in a highly competitive industry, and we expect competition to continue to increase. With the introduction of new technologies and the entry of new competitors into the market, including risk scoring companies, we expect competition to persist and intensify in the future. This could harm our ability to attract new merchants, increase sales, maintain or increase renewals, and maintain our prices. We believe that our ability to compete depends upon many factors both within and beyond our control, including the following:</w:t>
      </w:r>
    </w:p>
    <w:p>
      <w:pPr>
        <w:spacing w:after="0" w:line="155"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our merchant base;</w:t>
      </w:r>
    </w:p>
    <w:p>
      <w:pPr>
        <w:spacing w:after="0" w:line="164" w:lineRule="exact"/>
        <w:rPr>
          <w:rFonts w:ascii="Arial" w:cs="Arial" w:eastAsia="Arial" w:hAnsi="Arial"/>
          <w:sz w:val="18"/>
          <w:szCs w:val="18"/>
          <w:color w:val="auto"/>
        </w:rPr>
      </w:pPr>
    </w:p>
    <w:p>
      <w:pPr>
        <w:ind w:left="640" w:right="20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market acceptance of products, including the developments and enhancements to those products, offered by us or our competitors;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quality of our products and our merchant service and support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selling and marketing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continued ability to develop technology to support our business model;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continued ability to develop and implement new products to meet evolving merchant needs and regulatory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continued ability to expand into and localize our products in new geographies and new verticals in a timely manner;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brand strength relative to our competitors.</w:t>
      </w:r>
    </w:p>
    <w:p>
      <w:pPr>
        <w:spacing w:after="0" w:line="164" w:lineRule="exact"/>
        <w:rPr>
          <w:sz w:val="20"/>
          <w:szCs w:val="20"/>
          <w:color w:val="auto"/>
        </w:rPr>
      </w:pPr>
    </w:p>
    <w:p>
      <w:pPr>
        <w:jc w:val="both"/>
        <w:ind w:right="240" w:firstLine="318"/>
        <w:spacing w:after="0" w:line="247" w:lineRule="auto"/>
        <w:rPr>
          <w:sz w:val="20"/>
          <w:szCs w:val="20"/>
          <w:color w:val="auto"/>
        </w:rPr>
      </w:pPr>
      <w:r>
        <w:rPr>
          <w:rFonts w:ascii="Arial" w:cs="Arial" w:eastAsia="Arial" w:hAnsi="Arial"/>
          <w:sz w:val="18"/>
          <w:szCs w:val="18"/>
          <w:color w:val="auto"/>
        </w:rPr>
        <w:t>Many of our existing and potential competitors could have substantial competitive advantages, such as greater name recognition, longer operating histories, larger sales and marketing budgets, greater merchant support resources, lower labor and development costs, larger and more mature intellectual property portfolios and significantly greater financial, technical, marketing and other resources. Further, in addition to fraud detection and prevention, our competitors may offer a more comprehensive portfolio of products and services.</w:t>
      </w:r>
    </w:p>
    <w:p>
      <w:pPr>
        <w:spacing w:after="0" w:line="15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competitors may engage in more extensive research and development efforts, undertake more far-reaching marketing campaigns and adopt more aggressive pricing policies which may allow them to attract merchants. Our competitors may develop products that are similar to our products or that achieve greater market acceptance than our products, which could attract merchants away from our products and reduce our market share.</w:t>
      </w:r>
    </w:p>
    <w:p>
      <w:pPr>
        <w:spacing w:after="0" w:line="155" w:lineRule="exact"/>
        <w:rPr>
          <w:sz w:val="20"/>
          <w:szCs w:val="20"/>
          <w:color w:val="auto"/>
        </w:rPr>
      </w:pPr>
    </w:p>
    <w:p>
      <w:pPr>
        <w:jc w:val="both"/>
        <w:ind w:right="380" w:firstLine="318"/>
        <w:spacing w:after="0" w:line="248"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 w:name="page20"/>
    <w:bookmarkEnd w:id="19"/>
    <w:p>
      <w:pPr>
        <w:ind w:right="260"/>
        <w:spacing w:after="0" w:line="251" w:lineRule="auto"/>
        <w:rPr>
          <w:sz w:val="20"/>
          <w:szCs w:val="20"/>
          <w:color w:val="auto"/>
        </w:rPr>
      </w:pPr>
      <w:r>
        <w:rPr>
          <w:rFonts w:ascii="Arial" w:cs="Arial" w:eastAsia="Arial" w:hAnsi="Arial"/>
          <w:sz w:val="18"/>
          <w:szCs w:val="18"/>
          <w:color w:val="auto"/>
        </w:rPr>
        <w:t>technology partners or other parties with whom we have relationships, thereby limiting our ability to promote and implement our eCommerce risk management platform.</w:t>
      </w:r>
    </w:p>
    <w:p>
      <w:pPr>
        <w:spacing w:after="0" w:line="150"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These competitive pressures in our market, or our failure to compete effectively, may result in price reductions, lower transaction volumes, reduced revenue and gross profit margins, increased net losses, merchant-churn and loss of market share. Any failure to meet and address these factors may adversely affect our business, financial condition and results of operations.</w:t>
      </w:r>
    </w:p>
    <w:p>
      <w:pPr>
        <w:spacing w:after="0" w:line="13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have a substantial merchant concentration, with a limited number of merchants accounting for a substantial portion of our revenues. The loss of a significant merchant would materially and negatively affect our business, financial condition and results of operations.</w:t>
      </w:r>
    </w:p>
    <w:p>
      <w:pPr>
        <w:spacing w:after="0" w:line="14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derive a significant portion of our revenues from a few significant merchants, each of which operates in the eCommerce retail sector. For the years ended December 31, 2021 and 2020, our three largest merchants in the aggregate accounted for 30% and 36% of our revenues, respectively. In addition, our five largest merchants in aggregate accounted for approximately 39% and 46% of our revenues for the years ended December 31, 2021 and 2020, respectively. While the proportion of our total revenues that we derive from these merchants continues to decrease year-over-year as our merchant base expands, inherent risks remain whenever a large percentage of total revenues are concentrated with a limited number of merchants. It is not possible for us to predict the future business activities or volumes of sales that will be generated by these merchants. If any of these merchants experience declining or delayed sales or other business interruptions due to market, economic, or competitive conditions, the fees we receive from such merchant will decline proportionally. Further, because the retail sector, where most of our major merchants operate, is generally susceptible to macroeconomic factors, we too are susceptible to macroeconomic factors. See “Risk Factors—Risks Relating to our Business and Industry— Our revenue is impacted, to a significant extent, by macroeconomic conditions and the financial performance of our merchants.” In addition, we could be pressured to reduce our prices or we could experience a decline in the demand for our products, any of which could negatively affect our business, financial condition, and results of operations. If any of our five largest merchants terminate their relationships with us, such termination would materially negatively affect our business, financial condition, and results of operations. Furthermore, if any of our largest merchants terminate their relationships with us, or if these merchants experience declining or delayed sales or other business interruptions, our estimates and forecasts relating to the size and expected growth of our market may prove to be inaccurate.</w:t>
      </w:r>
    </w:p>
    <w:p>
      <w:pPr>
        <w:spacing w:after="0" w:line="15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If the financial condition of a merchant deteriorates significantly or a merchant becomes subject to a bankruptcy proceeding, we may not be able to recover amounts due to us from the merchant, which could have a material adverse impact on our business, financial condition, and results of operations.</w:t>
      </w:r>
    </w:p>
    <w:p>
      <w:pPr>
        <w:spacing w:after="0" w:line="131" w:lineRule="exact"/>
        <w:rPr>
          <w:sz w:val="20"/>
          <w:szCs w:val="20"/>
          <w:color w:val="auto"/>
        </w:rPr>
      </w:pPr>
    </w:p>
    <w:p>
      <w:pPr>
        <w:jc w:val="both"/>
        <w:ind w:right="680"/>
        <w:spacing w:after="0" w:line="261" w:lineRule="auto"/>
        <w:rPr>
          <w:sz w:val="20"/>
          <w:szCs w:val="20"/>
          <w:color w:val="auto"/>
        </w:rPr>
      </w:pPr>
      <w:r>
        <w:rPr>
          <w:rFonts w:ascii="Arial" w:cs="Arial" w:eastAsia="Arial" w:hAnsi="Arial"/>
          <w:sz w:val="18"/>
          <w:szCs w:val="18"/>
          <w:b w:val="1"/>
          <w:bCs w:val="1"/>
          <w:i w:val="1"/>
          <w:iCs w:val="1"/>
          <w:color w:val="auto"/>
        </w:rPr>
        <w:t>If we are unable to develop enhancements to our products, increase adoption and usage of our products, and introduce new products and capabilities that achieve market acceptance, our business, financial condition and results of operations may be adversely affected.</w:t>
      </w:r>
    </w:p>
    <w:p>
      <w:pPr>
        <w:spacing w:after="0" w:line="142"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ability to attract new merchants and increase revenue from existing merchants depends on numerous factors, including our ability to enhance and improve our existing products, increase adoption and usage of our products, and introduce new products and capabilities. In particular, if we are not able to develop technology that is able to keep pace with new and increasingly complex fraud schemes, we may not be able to achieve a return on investment that satisfies our merchants. Additionally, our inability to develop new technology that can detect new fraud schemes may also result in significant chargeback expenses which will materially and adversely impact our business, financial condition, and results of operations. The success of any enhancements or new products depends on several factors, including timely completion, adequate quality testing, introduction to the market, and market acceptance. Any products we develop may not be introduced in a timely or cost-effective manner, may contain errors or defects, or may not achieve the broad market acceptance necessary to generate sufficient revenue. If we are unable to successfully enhance our existing products to meet merchant requirements,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20" w:name="page21"/>
    <w:bookmarkEnd w:id="20"/>
    <w:p>
      <w:pPr>
        <w:ind w:right="340"/>
        <w:spacing w:after="0" w:line="251" w:lineRule="auto"/>
        <w:rPr>
          <w:sz w:val="20"/>
          <w:szCs w:val="20"/>
          <w:color w:val="auto"/>
        </w:rPr>
      </w:pPr>
      <w:r>
        <w:rPr>
          <w:rFonts w:ascii="Arial" w:cs="Arial" w:eastAsia="Arial" w:hAnsi="Arial"/>
          <w:sz w:val="18"/>
          <w:szCs w:val="18"/>
          <w:color w:val="auto"/>
        </w:rPr>
        <w:t>adoption and usage of our products, or develop new products, our business, financial condition, and results of operations may be adversely affected.</w:t>
      </w:r>
    </w:p>
    <w:p>
      <w:pPr>
        <w:spacing w:after="0" w:line="128"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i w:val="1"/>
          <w:iCs w:val="1"/>
          <w:color w:val="auto"/>
        </w:rPr>
        <w:t>If we are unable to continue to increase the sales of our products to large enterprises while mitigating the risks associated with serving such merchants, our business, financial condition and results of operations may be adversely affected.</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growth strategy is dependent, in large part, upon the continued increase of sales to large enterprises. Sales to large enterprises involve risks that may not be present or that are present to a lesser extent with sales to smaller entities, such as longer sales cycles, more complex merchant requirements, substantial upfront sales costs, and less predictability in completing some of our sales. For example, large enterprises may require considerable time to evaluate and test our applications and those of our competitors prior to making a purchase decision and placing an order. A number of factors influence the length and variability of our sales cycle, including the need to educate potential merchants about the uses and benefits of our products, the discretionary nature of purchasing and budget cycles, and the competitive nature of evaluation and purchasing approval processes. As a result, the length of our sales cycle may vary significantly from merchant to merchant and sales to large enterprises typically take longer to complete. Moreover, large enterprises often begin to deploy our products on a limited basis, but nevertheless demand configuration, integration services, and pricing negotiations, which increase our upfront investment in the sales effort with no guarantee that these merchants will deploy our products widely enough across their organization to justify the substantial upfront investment. Our ability to improve our sales to such large enterprises is also partially dependent on our ability to continue to attract and retain sales personnel with experience selling to large enterprises, and competition for such personnel can be intense.</w:t>
      </w:r>
    </w:p>
    <w:p>
      <w:pPr>
        <w:spacing w:after="0" w:line="157"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 addition, as security breaches with respect to larger, high-profile enterprises are likely to be heavily publicized, there is an increased reputational risk associated with serving such merchants. If we are unable to continue to increase sales of our products to large enterprises while mitigating the risks associated with serving such merchants, our business, financial condition, and results of operations may be adversely affected.</w:t>
      </w:r>
    </w:p>
    <w:p>
      <w:pPr>
        <w:spacing w:after="0" w:line="133"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b w:val="1"/>
          <w:bCs w:val="1"/>
          <w:i w:val="1"/>
          <w:iCs w:val="1"/>
          <w:color w:val="auto"/>
        </w:rPr>
        <w:t>The loss of the services of our co-founders, who are also our Chief Executive Officer and Chief Technology Officer, could materially and adversely affect our revenues, our results of operations and financial condition.</w:t>
      </w:r>
    </w:p>
    <w:p>
      <w:pPr>
        <w:spacing w:after="0" w:line="12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experiences of Eido Gal, our co-founder and Chief Executive Officer, and Assaf Feldman, our co-founder and Chief Technology Officer, are valuable assets to us. Mr. Gal and Mr. Feldman both have significant experience in developing automated risk and identity products and developing robust systems with machine learning algorithms and intelligent UIs for risk management applications and would be difficult to replace. Competition for senior executives in our industry is intense, and we may not be able to attract and retain qualified personnel to replace or succeed Mr. Gal or Mr. Feldman. Failure to retain Mr. Gal or Mr. Feldman would have a material adverse effect on our business, financial condition and results of operations.</w:t>
      </w:r>
    </w:p>
    <w:p>
      <w:pPr>
        <w:spacing w:after="0" w:line="136"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b w:val="1"/>
          <w:bCs w:val="1"/>
          <w:i w:val="1"/>
          <w:iCs w:val="1"/>
          <w:color w:val="auto"/>
        </w:rPr>
        <w:t>We depend on our executive officers and other key members of our management team and the loss of one or more of these employees could have an adverse effect on our revenues, our results of operations and financial condition.</w:t>
      </w:r>
    </w:p>
    <w:p>
      <w:pPr>
        <w:spacing w:after="0" w:line="12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and other key employees in the areas of research and development, marketing, business development, sales, products, and general administrative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1" w:name="page22"/>
    <w:bookmarkEnd w:id="21"/>
    <w:p>
      <w:pPr>
        <w:jc w:val="both"/>
        <w:ind w:right="60"/>
        <w:spacing w:after="0" w:line="248" w:lineRule="auto"/>
        <w:rPr>
          <w:sz w:val="20"/>
          <w:szCs w:val="20"/>
          <w:color w:val="auto"/>
        </w:rPr>
      </w:pPr>
      <w:r>
        <w:rPr>
          <w:rFonts w:ascii="Arial" w:cs="Arial" w:eastAsia="Arial" w:hAnsi="Arial"/>
          <w:sz w:val="18"/>
          <w:szCs w:val="18"/>
          <w:color w:val="auto"/>
        </w:rPr>
        <w:t>and lead the Company, could have an adverse effect on our revenues, our results of operations and financial condition. We also are dependent on the continued service of our existing software engineers and data scientists because of the complexity of our products and eCommerce risk management platform capabilities.</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If we are unable to attract and retain executives and employees that we need to support our operations and growth, our revenues, our results of operations and financial condition may be adversely affected.</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To execute our growth plan, we must attract and retain highly qualified personnel. Competition for these personnel is intense, especially for software engineers experienced in designing and developing software as a service (“SaaS”) applications and experienced sales professionals. Competition for talent in Israel is particularly intense. See “Risk Factors—Risks Relating to our Incorporation and Location in Israel — Due to intense competition for highly skilled personnel in Israel, we may fail to attract, recruit, retain and develop qualified employees, which could materially and adversely impact our business, financial condition and results of operations.” If we are unable to attract such personnel remotely or in cities or countries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w:t>
      </w:r>
    </w:p>
    <w:p>
      <w:pPr>
        <w:spacing w:after="0" w:line="157" w:lineRule="exact"/>
        <w:rPr>
          <w:sz w:val="20"/>
          <w:szCs w:val="20"/>
          <w:color w:val="auto"/>
        </w:rPr>
      </w:pPr>
    </w:p>
    <w:p>
      <w:pPr>
        <w:jc w:val="both"/>
        <w:ind w:right="300" w:firstLine="318"/>
        <w:spacing w:after="0" w:line="247" w:lineRule="auto"/>
        <w:rPr>
          <w:sz w:val="20"/>
          <w:szCs w:val="20"/>
          <w:color w:val="auto"/>
        </w:rPr>
      </w:pPr>
      <w:r>
        <w:rPr>
          <w:rFonts w:ascii="Arial" w:cs="Arial" w:eastAsia="Arial" w:hAnsi="Arial"/>
          <w:sz w:val="18"/>
          <w:szCs w:val="18"/>
          <w:color w:val="auto"/>
        </w:rPr>
        <w:t>We believe that our corporate culture has been a critical component of our success. We have invested substantial time and resources in building our team and nurturing our culture. As we rapidly grow, we may find it difficult to maintain our corporate culture while managing this growth. Any failure to manage our anticipated growth and organizational changes in a manner that preserves the key aspects of our culture could hurt our ability to recruit and retain personnel. This, in turn, could adversely affect our revenues, our results of operations and financial condition.</w:t>
      </w:r>
    </w:p>
    <w:p>
      <w:pPr>
        <w:spacing w:after="0" w:line="154"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addition, prospective and existing employees often consider the value of the equity awards they receive in connection with their employment. If the amount or value of equity awards offered to employees is perceived to be less favorable than equity awards offered by other companies with whom we compete for talent, or the perceived value of our equity awards declines, experiences significant volatility, or increases such that prospective employees believe there is limited upside to the value of the Company’s equity awards, it may adversely affect our ability to recruit and retain key employees. If we fail to attract new personnel or fail to retain and motivate our current personnel, our business, financial condition and results of operations may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with respect to determining the optimal prices and pricing structures for our products.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typically charge our merchants a percentage of the value of the transactions that we automatically approve. The fee we charge our merchants is a risk-adjusted price, which is expressed as a percentage of the GMV dollars that we approve. We expect we may need to change our pricing model from time to time, including in response to a change in global economic conditions or reductions in our merchants’ spending levels generally.</w:t>
      </w:r>
    </w:p>
    <w:p>
      <w:pPr>
        <w:spacing w:after="0" w:line="15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Through our Chargeback Guarantee product, we provide a Chargeback Guarantee to our merchants for transactions that our eCommerce risk management platform approves that are subsequently determined to be fraudulent and for which a valid chargeback reimbursement request is received by our merchant. Pursuant to our Chargeback Guarantee, we may be required to issue a significant amount of credits to merchants. The credit issued via the invoice we provide to our merchants generally equates to the approved transaction amount, which exceeds the fee we charge for the associated transaction.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2" w:name="page23"/>
    <w:bookmarkEnd w:id="22"/>
    <w:p>
      <w:pPr>
        <w:ind w:right="20"/>
        <w:spacing w:after="0" w:line="247" w:lineRule="auto"/>
        <w:rPr>
          <w:sz w:val="20"/>
          <w:szCs w:val="20"/>
          <w:color w:val="auto"/>
        </w:rPr>
      </w:pPr>
      <w:r>
        <w:rPr>
          <w:rFonts w:ascii="Arial" w:cs="Arial" w:eastAsia="Arial" w:hAnsi="Arial"/>
          <w:sz w:val="18"/>
          <w:szCs w:val="18"/>
          <w:color w:val="auto"/>
        </w:rPr>
        <w:t>business model requires us to accurately predict the amount of credits we expect to issue in order to determine the appropriate pricing structure for our products, and failure to do so may negatively affect our financial condition. Similarly, as we introduce new products, or as a result of the evolution of our existing products, and as the methods and techniques used to perpetrate fraud evolve, we may have difficulty determining the appropriate pricing structure for our products.</w:t>
      </w:r>
    </w:p>
    <w:p>
      <w:pPr>
        <w:spacing w:after="0" w:line="155"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addition, as new and existing competitors introduce new products that compete with ours, or revise their pricing structures, we may be unable to attract new merchants at the same price, or based on the same pricing model as we have used historically. Moreover, as we continue to target selling our products to large enterprises, these large enterprises may demand substantial price concessions. As a result, we may be required, from time to time, to revise our pricing structure or reduce our prices, which could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 on favorable terms, if at all.</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available funds and cash flow from operations will be sufficient to meet our cash needs for the foreseeable future, we may require additional financing and we may not be able to obtain such financing on favorable terms, or at all. Our ability to obtain financing will depend on, among other things, our development efforts, business plans, operating performance and the condition of capital markets at the time we seek financing. If we raise additional funds through the issuance of equity, equity-linked, or convertible debt securities, to fund operations or on an opportunistic basis, those securities may have rights, preferences, or privileges senior to the rights of our Class A ordinary shares, or may require us to agree to restrictive covenants or unfavorable terms, and our existing shareholders may experience significant dilution of their ownership interests. Any debt financing we may secure in the future could involve restrictive covenants that may impose significant operating and financial restrictions on us, and may limit our ability to engage in acts that may be in our long-term best interest, including restrictions on our ability to incur indebtedness, incur liens, enter into mergers or consolidations, dispose of assets, pay dividends, make acquisitions and make investments, loans and advances. These restrictions may affect our ability to grow in accordance with our strategy, limit our ability to raise additional debt or equity financing to operate our business, including during economic or business downturns, and limit our ability to compete effectively or take advantage of new business opportunities. In particular, the widespread COVID-19 pandemic, including variants, has resulted in, and may continue to result in, significant disruption of global financial markets, reducing our ability to reduce capital. We may not be able to obtain additional financing on terms favorable to us, or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financial condition and results of operations may be adversely affected.</w:t>
      </w:r>
    </w:p>
    <w:p>
      <w:pPr>
        <w:spacing w:after="0" w:line="134"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If we fail to offer high quality support, or we are unable to achieve or maintain a high level of merchant satisfaction, demand for our products could suffer.</w:t>
      </w:r>
    </w:p>
    <w:p>
      <w:pPr>
        <w:spacing w:after="0" w:line="129"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Our merchants rely on our personnel for support related to our eCommerce risk management platform and products. High-quality support is important for the renewal and expansion of our agreements with existing merchants. The importance of high-quality support will increase as we expand our business and pursue new merchants. Further, we believe that our future revenue growth depends, in part, on our ability to provide merchants with quality service that meets our commitments, meets or exceeds our merchants’ evolving needs and expectations, and is conducive to our ability to continue to sell new products to existing merchants. We are not always able to provide our merchants with this level of service, and our merchants occasionally encounter interruptions in service and other challenges, including as a result of outages, errors or bugs in our software or third-party software or human error. If we do not help our merchants quickly resolve issues and provide effective ongoing support, or we are unable to achieve or maintain a high level of merchant satisfaction, we could experience higher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3" w:name="page24"/>
    <w:bookmarkEnd w:id="23"/>
    <w:p>
      <w:pPr>
        <w:spacing w:after="0" w:line="248" w:lineRule="auto"/>
        <w:rPr>
          <w:sz w:val="20"/>
          <w:szCs w:val="20"/>
          <w:color w:val="auto"/>
        </w:rPr>
      </w:pPr>
      <w:r>
        <w:rPr>
          <w:rFonts w:ascii="Arial" w:cs="Arial" w:eastAsia="Arial" w:hAnsi="Arial"/>
          <w:sz w:val="18"/>
          <w:szCs w:val="18"/>
          <w:color w:val="auto"/>
        </w:rPr>
        <w:t>churn, lower than expected renewal rates, disputes and litigation, additional costs under our service agreements with merchants, such as discounts for future services, or negative publicity, any of which could have an adverse effect on our business, financial condition, and results of operations.</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In deploying our SaaS products, we rely upon third-party providers of cloud-based infrastructure, or Public Cloud Providers, such as Amazon Web Services, to provide our products. In addition, many of our merchants utilize those same Public Cloud Providers. Any disruption in the operations of Public Cloud Providers or interference with our use of Public Cloud Providers would adversely affect our business, financial condition, and results of operations.</w:t>
      </w:r>
    </w:p>
    <w:p>
      <w:pPr>
        <w:spacing w:after="0" w:line="14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outsource substantially all of the infrastructure relating to our cloud offerings to Public Cloud Providers. Merchants of our cloud-based SaaS products need to be able to access our eCommerce risk management platform at any time, without interruption or degradation of performance, and we provide them with service level commitments with respect to uptime. Our cloud-based SaaS products depend on protecting the virtual cloud infrastructure hosted by Public Cloud Providers by maintaining its configuration, architecture, features and interconnection specifications, as well as maintaining the information stored in these virtual data centers and transmitted by third-party internet service providers. While our Public Cloud Providers typically have robust backup and disaster recovery plans and processes in place, any incident affecting our Public Cloud Providers’ infrastructure that may be caused by fire, flood, severe storm, earthquake or other natural disasters, viruses, cyberattacks, terrorist or other attacks, and other similar events beyond our control could negatively affect our cloud-based SaaS products. A prolonged service disruption affecting our cloud-based offerings for any of the foregoing reasons would negatively impact our ability to serve our merchants and could damage our reputation with current and potential merchants, expose us to liability, cause us to lose merchants or otherwise have an adverse effect on our business, financial condition, and results of operations. We may also incur significant costs for using alternative equipment or taking other actions in preparation for, or in reaction to, events that damage the Public Cloud Provider services we use.</w:t>
      </w:r>
    </w:p>
    <w:p>
      <w:pPr>
        <w:spacing w:after="0" w:line="157"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In the event that our service agreements with our Public Cloud Providers are terminated, or there is a lapse of service, elimination of services or features that we utilize, interruption of internet service provider connectivity or damage to such facilities, we could experience interruptions in access to our eCommerce risk management platform as well as significant delays and additional expenses in arranging or creating new facilities and services and/or re-architecting our cloud offering for deployment on a different cloud infrastructure service provider, which may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rely on a combination of trademark, trade secret, copyright and other intellectual property laws as well as contractual provisions, such as confidentiality clauses, to establish and protect our proprietary technology, our brand and other intellectual property. While it is our policy to protect and defend our intellectual property, our efforts may be inadequate to prevent unauthorized use of our intellectual property rights. We will not be able to protect our intellectual property if we are unable to secure or enforce our rights or if we do not detect unauthorized use of our intellectual property. If we fail to protect our intellectual property rights adequately, our competitors may gain access to our technology and our business, financial condition, and results of operations may be adversely affected. In addition, defending our intellectual property rights may entail significant expense. Any patents, trademarks, or other intellectual property rights that we obtain may be challenged by others or invalidated through administrative process or litigation. We do not currently have any patents or pending patent applications; however, in the future, we may seek patent protection for our technology, which protection we may not be able to obtain or maintain. In addition, any patents we obtain in the future may not issue with the scope of the claims we seek or may not provide us with meaningful protections or competitive advantages, or may be successfully challenged, invalidated, or circumvented by third parties. Furthermore, legal standards relating to the validity, enforceability and scope of protection of intellectual property rights are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24" w:name="page25"/>
    <w:bookmarkEnd w:id="24"/>
    <w:p>
      <w:pPr>
        <w:ind w:firstLine="318"/>
        <w:spacing w:after="0" w:line="246" w:lineRule="auto"/>
        <w:rPr>
          <w:sz w:val="20"/>
          <w:szCs w:val="20"/>
          <w:color w:val="auto"/>
        </w:rPr>
      </w:pPr>
      <w:r>
        <w:rPr>
          <w:rFonts w:ascii="Arial" w:cs="Arial" w:eastAsia="Arial" w:hAnsi="Arial"/>
          <w:sz w:val="18"/>
          <w:szCs w:val="18"/>
          <w:color w:val="auto"/>
        </w:rPr>
        <w:t>We also have chosen not to register any copyrights, and instead rely primarily on trade secret protection to protect our proprietary software. While we also own unregistered copyrights in our software, copyrights must be registered before bringing a copyright infringement lawsuit in the United States. Because we have chosen not to register our copyrights, the remedies and damages available to us for unauthorized use of software may be limited. Despite our efforts to maintain our source code and certain other technologies as trade secrets, it may still be possible for unauthorized third parties to copy our products and eCommerce risk management platform capabilities and use information that we regard as proprietary to create products that compete with ours. Further, effective patent, trademark, copyright and trade secret protection may not be available to us in every country in which our products are or may become available, or our attempts to register intellectual property rights may be challenged or rejected. The laws of some foreign countries, such as China,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Accordingly, despite our efforts, we may be unable to prevent third parties from infringing upon or misappropriating our intellectual property. Third parties, including former employees, may also breach duties of confidentiality to us. Further, we may be unable to prevent competitors from acquiring trademarks or domain names that are similar to or diminish the value of our intellectual property. We are and may become party to certain agreements that may limit our trademark rights in certain jurisdictions; our ability to use our existing trademarks in new business lines in the future may be limited.</w:t>
      </w:r>
    </w:p>
    <w:p>
      <w:pPr>
        <w:spacing w:after="0" w:line="157"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parties. We also attempt to protect our proprietary technologies by implementing administrative, technical and physical practices, including source code access controls, to secure our proprietary information. However, no assurance can be given that these agreements or practices will be effective in controlling access to and distribution of our proprietary information. Further, these agreements may not prevent our competitors from independently developing technologies that are substantially equivalent or superior to our products and eCommerce risk management platform capabilities.</w:t>
      </w:r>
    </w:p>
    <w:p>
      <w:pPr>
        <w:spacing w:after="0" w:line="158"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We may be required to spend significant resources in order to monitor and protect our intellectual property rights. Litigation may be necessary in the future to enforce our intellectual property rights and to protect our trade secrets. Such litigation could be costly, time-consuming, and distracting to management, and could result in the impairment or loss of portions of our intellectual property. Further, our efforts to enforce our intellectual property rights may be met with defenses, counterclaims, and countersuits attacking the ownership, scope,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products and eCommerce risk management platform capabilities, impair the functionality of our products and platform capabilities, delay development and introductions of new products, result in our substituting inferior or more costly technologies into our products, or injure our reputation. Any of the foregoing could materially and adversely affect our business, financial condition and results of operations.</w:t>
      </w:r>
    </w:p>
    <w:p>
      <w:pPr>
        <w:spacing w:after="0" w:line="124"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revenues, our results of operations and financial condition.</w:t>
      </w:r>
    </w:p>
    <w:p>
      <w:pPr>
        <w:spacing w:after="0" w:line="12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continued growth depends in part on the ability of our existing and potential merchants to access our products and eCommerce risk management platform capabilities at any time and within an acceptable amount of time. Interruptions in our products or performance problems, for whatever reason, could undermine our merchants’ confidence in our products and cause us to lose merchants or make it more difficult to attract new ones.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5" w:name="page26"/>
    <w:bookmarkEnd w:id="25"/>
    <w:p>
      <w:pPr>
        <w:spacing w:after="0" w:line="246" w:lineRule="auto"/>
        <w:rPr>
          <w:sz w:val="20"/>
          <w:szCs w:val="20"/>
          <w:color w:val="auto"/>
        </w:rPr>
      </w:pPr>
      <w:r>
        <w:rPr>
          <w:rFonts w:ascii="Arial" w:cs="Arial" w:eastAsia="Arial" w:hAnsi="Arial"/>
          <w:sz w:val="18"/>
          <w:szCs w:val="18"/>
          <w:color w:val="auto"/>
        </w:rPr>
        <w:t>attacks, or other security-related incidents or attacks. It may become increasingly difficult to maintain and improve our performance, especially during peak usage times and as our products and platform capabilities become more complex and our user traffic increases. If our products and platform capabilities are unavailable or if our merchants are unable to access our products and platform capabilities within a reasonable amount of time or at all, our revenues, our results of operations and financial condition may be adversely affected. We provide credits to our merchants for consumer transactions that our platform approves that are subsequently determined to be fraudulent and for which our merchants receive a chargeback. Any performance malfunction in our platform could result in us approving fraudulent consumer transactions in excess of anticipated levels and, to the extent chargebacks are received by our merchants, require us to issue a significant amount of credits to merchants. Issuing a significant amount of credits or refunds to merchants would negatively impact our financial position. To the extent that we do not effectively address capacity constraints, upgrade our systems as needed, and continually develop our technology and network architecture to accommodate actual and anticipated changes in technology, this may cause merchants to terminate their agreements with us, impair our ability to grow our merchant base, subject us to financial liabilities and our business, financial condition and results of operations may be adversely affected.</w:t>
      </w:r>
    </w:p>
    <w:p>
      <w:pPr>
        <w:spacing w:after="0" w:line="135" w:lineRule="exact"/>
        <w:rPr>
          <w:sz w:val="20"/>
          <w:szCs w:val="20"/>
          <w:color w:val="auto"/>
        </w:rPr>
      </w:pPr>
    </w:p>
    <w:p>
      <w:pPr>
        <w:jc w:val="both"/>
        <w:ind w:right="160"/>
        <w:spacing w:after="0" w:line="307" w:lineRule="auto"/>
        <w:rPr>
          <w:sz w:val="20"/>
          <w:szCs w:val="20"/>
          <w:color w:val="auto"/>
        </w:rPr>
      </w:pPr>
      <w:r>
        <w:rPr>
          <w:rFonts w:ascii="Arial" w:cs="Arial" w:eastAsia="Arial" w:hAnsi="Arial"/>
          <w:sz w:val="17"/>
          <w:szCs w:val="17"/>
          <w:b w:val="1"/>
          <w:bCs w:val="1"/>
          <w:i w:val="1"/>
          <w:iCs w:val="1"/>
          <w:color w:val="auto"/>
        </w:rPr>
        <w:t>Our machine learning models have not yet been extensively tested during down-cycle economic conditions. If our machine learning models do not accurately detect fraud in such economic conditions, the performance of our product may be worse than anticipated.</w:t>
      </w:r>
    </w:p>
    <w:p>
      <w:pPr>
        <w:spacing w:after="0" w:line="105"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The performance of our products significantly depends on the effectiveness of our machine learning models used to detect fraud. The data gathering for, and development of, our machine learning models have largely occurred during a period of sustained economic growth, and our machine learning models have not been extensively tested during a down-cycle economy or recession and have not been tested at all during a down-cycle economy or recession without significant levels of government assistance. There is no assurance that our machine learning models can continue to accurately detect fraud under adverse economic conditions. If our machine learning models are unable to accurately detect fraud under such economic conditions, we may be required to issue a significant amount of credits as a result of valid chargebacks, which would negatively impact our financial position, reduce merchant satisfaction with our products, harm our reputation and erode the trust we have built with our merchants. Any of these factors could adversely affect our business, financial condition and results of operations.</w:t>
      </w:r>
    </w:p>
    <w:p>
      <w:pPr>
        <w:spacing w:after="0" w:line="11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Our proprietary machine learning models rely in part on the use of our merchants’ data and other third-party data, and if we lose the ability to use such data, or if such data contain inaccuracies, our business could be adversely affected.</w:t>
      </w:r>
    </w:p>
    <w:p>
      <w:pPr>
        <w:spacing w:after="0" w:line="12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rely on our proprietary machine learning models, which are statistical models built using a variety of data-sets. Our machine learning models rely on a wide variety of data sources, including data collected from our merchants as part of our automated decisioning process and in some cases data collected from third parties. Under our agreements with certain merchants, we receive licenses to use data collected directly from those merchants’ consumers’ internet browsers. Such licenses may impose restrictions on how such data may be used, including, for example, restrictions on the collection or use of data from certain jurisdictions. If we are unable to access and use data collected from our merchants or their consumers as part of our automated decisioning process, or other third-party data used in our machine learning models, or our access to such data is limited, for example, due to new or changing laws, regulations or policies of third parties, our ability to accurately evaluate potential transactions, detect fraud and verify consumers’ data would be compromised.</w:t>
      </w:r>
    </w:p>
    <w:p>
      <w:pPr>
        <w:spacing w:after="0" w:line="15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Third-party data sources on which we rely include Maxmind, Ekata and Emailage. The data received from these third-parties is used by our machine learning models, including to evaluate transactions for potential fraud. Data collected from our merchants as part of our automated decisioning process and other information that we receive from third parties may not accurately detect fraud for a variety of reasons, including errors or inconsistencies in the information collected, changing methods of perpetrating fraud or lack of available information upon which to make a decision. For example, if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6" w:name="page27"/>
    <w:bookmarkEnd w:id="26"/>
    <w:p>
      <w:pPr>
        <w:ind w:right="200"/>
        <w:spacing w:after="0" w:line="248" w:lineRule="auto"/>
        <w:rPr>
          <w:sz w:val="20"/>
          <w:szCs w:val="20"/>
          <w:color w:val="auto"/>
        </w:rPr>
      </w:pPr>
      <w:r>
        <w:rPr>
          <w:rFonts w:ascii="Arial" w:cs="Arial" w:eastAsia="Arial" w:hAnsi="Arial"/>
          <w:sz w:val="18"/>
          <w:szCs w:val="18"/>
          <w:color w:val="auto"/>
        </w:rPr>
        <w:t>provided by a merchant is inaccurate, it may cause us to inaccurately affiliate a legitimate order with other fraudulent orders. Although we use numerous third-party data sources within our machine learning models, which helps mitigate this risk, it does not eliminate the risk of an inaccurate fraud review decision.</w:t>
      </w:r>
    </w:p>
    <w:p>
      <w:pPr>
        <w:spacing w:after="0" w:line="15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if third-party data used to train and improve our machine learning models is inaccurate, or access to such third-party data is limited or becomes unavailable to us, our ability to continue to improve our machine learning models would be adversely affected. Although we believe that there are commercially reasonable alternatives to the third-party data we currently license available, this may not always be the case, or it may be difficult or costly to migrate to other third-party data. Our use of additional or alternative third-party data would require us to enter into license agreements with third parties. In addition, integration of the third-party data used in our machine learning models with new third-party data may require significant work and require substantial investment of our time and resources. Any of the foregoing could negatively impact our product offerings and our relationships with our merchants, impair our ability to grow our merchant base, subject us to financial liabilities and our business, financial condition and results of operations may be adversely affected.</w:t>
      </w:r>
    </w:p>
    <w:p>
      <w:pPr>
        <w:spacing w:after="0" w:line="136"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i w:val="1"/>
          <w:iCs w:val="1"/>
          <w:color w:val="auto"/>
        </w:rPr>
        <w:t>Our machine learning models may not operate properly or as we expect them to, which could cause us to inaccurately evaluate transactions. Moreover, our machine learning models may lead to unintentional bias and discrimination.</w:t>
      </w:r>
    </w:p>
    <w:p>
      <w:pPr>
        <w:spacing w:after="0" w:line="12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utilize the data gathered from various sources in our automated decisioning process. The data that we gather is evaluated and curated by our machine learning models. The continuous development, maintenance and operation of our machine learning models is expensive and complex, and may involve unforeseen difficulties including material performance problems, and undetected defects or errors, for example, with new capabilities incorporating artificial intelligence. We may encounter technical obstacles, and it is possible that we may discover additional problems that prevent our machine learning models from operating properly. If our machine learning models do not function reliably, we may incorrectly approve transactions or suffer other failures of our products, which could result in merchant dissatisfaction with us, which could cause merchants to terminate their agreements with us, impair our ability to grow our merchant base, subject us to financial liabilities, and our business, financial condition, and results of operations may be adversely affected. Additionally, our machine learning models may lead to unintentional bias and discrimination in our automated decisioning process, which could subject us to legal or regulatory liability. Any of these eventualities could adversely affect our business, financial condition and results of operations.</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Changes in privacy laws, regulations, and standards and other regulations, including laws and regulations governing our collection, use, disclosure, retention, transfer or storage of personal information, including payment card data, and our actual or perceived failure to comply with such regulations may have an adverse effect on our revenues, our results of operations and financial condition.</w:t>
      </w:r>
    </w:p>
    <w:p>
      <w:pPr>
        <w:spacing w:after="0" w:line="14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are subject to federal, state, and international laws relating to the collection, use, disclosure, retention, security, and transfer of personal information, personal information, personal data, and consumer information, including payment card data, as such terms are commonly understood. The regulatory framework worldwide for privacy and security issues, particularly as they relate to the use of data in artificial intelligence and machine learning is rapidly evolving and as a result implementation standards and enforcement practices are likely to remain uncertain for the foreseeable future. We publicly post documentation regarding our practices concerning the processing, use, and disclosure of data. Any failure by us, our suppliers, or other parties with whom we do business to comply with this documentation or with other federal, state, or international regulations could result in proceedings against us by governmental entities or others. In many jurisdictions, enforcement actions and consequences for noncompliance are rising. In the United States, these include enforcement actions under federal and state laws, rules and regulations, including those promulgated under the authority of federal agencies and state attorneys general and legislatures and consumer protection agencies. In addition, privacy advocates and industry groups have regularly proposed and sometimes approved, and may propose and approve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7" w:name="page28"/>
    <w:bookmarkEnd w:id="27"/>
    <w:p>
      <w:pPr>
        <w:jc w:val="both"/>
        <w:ind w:right="500"/>
        <w:spacing w:after="0" w:line="248" w:lineRule="auto"/>
        <w:rPr>
          <w:sz w:val="20"/>
          <w:szCs w:val="20"/>
          <w:color w:val="auto"/>
        </w:rPr>
      </w:pPr>
      <w:r>
        <w:rPr>
          <w:rFonts w:ascii="Arial" w:cs="Arial" w:eastAsia="Arial" w:hAnsi="Arial"/>
          <w:sz w:val="18"/>
          <w:szCs w:val="18"/>
          <w:color w:val="auto"/>
        </w:rPr>
        <w:t>future, self-regulatory standards with which we must legally comply or that contractually apply to us. If we fail to follow applicable security standards even if no consumer information is compromised, we may incur significant fines or experience a significant increase in costs or reputational damage.</w:t>
      </w:r>
    </w:p>
    <w:p>
      <w:pPr>
        <w:spacing w:after="0" w:line="153"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U.S. domestic laws in this area are complex and developing rapidly. Many state legislatures have adopted legislation that regulates how businesses operate online, including measures relating to privacy, data security and data breaches. Laws in all 50 states require businesses to provide notice to consumers whose personal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Consumers Privacy Act, or the CCPA, which became effective on January 1, 2020.</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may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Further, in November 2020, California voters passed the California Privacy Rights Act, or the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w:t>
      </w:r>
    </w:p>
    <w:p>
      <w:pPr>
        <w:spacing w:after="0" w:line="157"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addition, the Virginia Consumer Data Protection Act, or the VCDPA, which will go into effect in 2023, gives new data protection rights to Virginia residents and imposes additional obligations on controllers and processors of consumer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Further, the Colorado Privacy Act (“COCPA”), which also becomes enforceable in 2023, closely resembles the VCDPA, and both will be enforced by the respective states’ Attorney General and district attorneys, although the two differ in many ways.</w:t>
      </w:r>
    </w:p>
    <w:p>
      <w:pPr>
        <w:spacing w:after="0" w:line="141"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Some observers have noted that the CCPA, CPRA, VCDPA and COCPA could mark the beginning of a trend toward more stringent privacy legislation in the United States, which could increase our potential liability and adversely affect our revenues, our results of operations and financial condition.</w:t>
      </w:r>
    </w:p>
    <w:p>
      <w:pPr>
        <w:spacing w:after="0" w:line="15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Additionally, in offering online payment products for our merchants using Deco, we may increasingly rely on technology licensed from third parties to provide the security and authentication necessary to effect secure transmission of confidential information such as consumer credit card numbers. Advances in computer capabilities, new discoveries in the field of cryptography or other developments could compromise or breach the algorithms that we use to protect our merchants’ transaction data.</w:t>
      </w:r>
    </w:p>
    <w:p>
      <w:pPr>
        <w:spacing w:after="0" w:line="155" w:lineRule="exact"/>
        <w:rPr>
          <w:sz w:val="20"/>
          <w:szCs w:val="20"/>
          <w:color w:val="auto"/>
        </w:rPr>
      </w:pPr>
    </w:p>
    <w:p>
      <w:pPr>
        <w:jc w:val="both"/>
        <w:ind w:right="80" w:firstLine="318"/>
        <w:spacing w:after="0" w:line="248" w:lineRule="auto"/>
        <w:rPr>
          <w:sz w:val="20"/>
          <w:szCs w:val="20"/>
          <w:color w:val="auto"/>
        </w:rPr>
      </w:pPr>
      <w:r>
        <w:rPr>
          <w:rFonts w:ascii="Arial" w:cs="Arial" w:eastAsia="Arial" w:hAnsi="Arial"/>
          <w:sz w:val="18"/>
          <w:szCs w:val="18"/>
          <w:color w:val="auto"/>
        </w:rPr>
        <w:t>Internationally, virtually every jurisdiction in which we operate has established its own data security and privacy legal framework with which we or our merchants must comply, including, but not limited to, the European Economic Area, or the EEA, the United Kingdom, and Israel. The EEA’s data protection landscape is evolving, resulting in possible significant operational costs for internal compliance and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28" w:name="page29"/>
    <w:bookmarkEnd w:id="28"/>
    <w:p>
      <w:pPr>
        <w:ind w:right="140"/>
        <w:spacing w:after="0" w:line="261" w:lineRule="auto"/>
        <w:rPr>
          <w:sz w:val="20"/>
          <w:szCs w:val="20"/>
          <w:color w:val="auto"/>
        </w:rPr>
      </w:pPr>
      <w:r>
        <w:rPr>
          <w:rFonts w:ascii="Arial" w:cs="Arial" w:eastAsia="Arial" w:hAnsi="Arial"/>
          <w:sz w:val="17"/>
          <w:szCs w:val="17"/>
          <w:color w:val="auto"/>
        </w:rPr>
        <w:t>to our business. Recent legal developments in the EEA have created complexity and uncertainty regarding transfers of personal data from the EEA to the United States and other so-called third countries outside the EEA. While we have taken steps to mitigate the impact on us, such as implementing the European Commission’s standard contractual clauses, or SCCs, the efficacy and longevity of these mechanisms remains uncertain. On July 16, 2020, the Court of Justice of the European Union, or the CJEU, invalidated the EU-U.S. Privacy Shield Framework, or Privacy Shield, under which personal data could be transferred from the European Economic Area to U.S. entities who had self-certified under the Privacy Shield scheme. While the CJEU upheld the adequacy of the SCCs, it made clear that reliance on them alone may not necessarily be sufficient in all circumstances. The European Data Protection Board (“EDPB”) released a comment on the supplementary measures that companies may use to ensure ‘EU level’ data protection - such as conducting impact assessment for data transfers, and assessing the use of SCCs on a case-by-case basis taking into account the legal regime applicable in the destination country, in particular applicable surveillance laws, and rights of individuals and additional technical and organizational measures and/or contractual provisions may need to be put in place. However, the nature of these additional measures is currently uncertain in part as respective guidance of the supervisory authorities leaves room for interpretation. Moreover, the European Commission released an implementation decision for a new set of SCCs on June 4, 2021, which requires us to use new SCCs as of September 28, 2021 and replace existing SCCs by December 27, 2022.</w:t>
      </w:r>
    </w:p>
    <w:p>
      <w:pPr>
        <w:spacing w:after="0" w:line="151" w:lineRule="exact"/>
        <w:rPr>
          <w:sz w:val="20"/>
          <w:szCs w:val="20"/>
          <w:color w:val="auto"/>
        </w:rPr>
      </w:pPr>
    </w:p>
    <w:p>
      <w:pPr>
        <w:ind w:right="200" w:firstLine="318"/>
        <w:spacing w:after="0" w:line="246" w:lineRule="auto"/>
        <w:rPr>
          <w:sz w:val="20"/>
          <w:szCs w:val="20"/>
          <w:color w:val="auto"/>
        </w:rPr>
      </w:pPr>
      <w:r>
        <w:rPr>
          <w:rFonts w:ascii="Arial" w:cs="Arial" w:eastAsia="Arial" w:hAnsi="Arial"/>
          <w:sz w:val="18"/>
          <w:szCs w:val="18"/>
          <w:color w:val="auto"/>
        </w:rPr>
        <w:t>These recent developments may require us to review and amend the legal mechanisms by which we transfer personal data from the EEA and the United Kingdom.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w:t>
      </w:r>
    </w:p>
    <w:p>
      <w:pPr>
        <w:spacing w:after="0" w:line="158"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In Israel, the Privacy Protection Regulations (Transfer of Information to Databases Outside State Borders), 2001, or the Israel Transfer Regulations, require the data exporter, after ensuring that the transfer abroad is permitted pursuant to the legal bases for transfer abroad as provided in the Israel Transfer Regulations, to obtain from the data importer an undertaking to take sufficient measures in order to protect the personal data and not to transfer data to any third party without explicit approval from the database owner. We have not fully complied with the foregoing regulations, and, while enforcement of a failure to comply with these restrictions has so far been very limited (as it also depends on the scope of the alleged violation), the enforcement standards and practices regarding this issue may change in the future. Additionally, any change in the way we share and store data collected in Israel may lead to additional or different obligations.</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the General Data Protection Regulation 2016/679, or the GDPR, and the UK Data Protection Act 2018 and the UK General Data Protection Regulation (as defined by the UK Data Protection Act 2018 as amended by the Data Protection, Privacy and Electronic Communications (Amendment etc.) (EU Exit) Regulations 2019), or the UK GDPR, impose robust obligations on controllers and processors for the collection, control, use, sharing, disclosure and other processing of data relating to an identified or identifiable living individual (personal data) and contains documentation and accountability requirements for data protection compliance. The GDPR, UK GDPR, CCPA, and PPL (as defined below) impose numerous privacy-related obligations on companies operating in their respective jurisdictions, including certain control for data subjects (</w:t>
      </w:r>
      <w:r>
        <w:rPr>
          <w:rFonts w:ascii="Arial" w:cs="Arial" w:eastAsia="Arial" w:hAnsi="Arial"/>
          <w:sz w:val="18"/>
          <w:szCs w:val="18"/>
          <w:i w:val="1"/>
          <w:iCs w:val="1"/>
          <w:color w:val="auto"/>
        </w:rPr>
        <w:t>e.g.</w:t>
      </w:r>
      <w:r>
        <w:rPr>
          <w:rFonts w:ascii="Arial" w:cs="Arial" w:eastAsia="Arial" w:hAnsi="Arial"/>
          <w:sz w:val="18"/>
          <w:szCs w:val="18"/>
          <w:color w:val="auto"/>
        </w:rPr>
        <w:t>, the “right to be forgotten”), data portability rights for consumers, data breach notification requirements, and data security obligations. Failure to comply with these obligations can result in significant fines and other liability under applicable law. In particular, under the GDPR, fines of up to EUR 20 million (or GBP 17.5 million under the UK GDPR) or up to 4% of the annual global revenue of the noncompliant company, whichever is greater, could be imposed for violations of certain of the GDPR’s requirements. The GDPR requirements apply not only to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transactions, but also to transfers of information between us and our subsidiaries, including employee information.</w:t>
      </w:r>
    </w:p>
    <w:p>
      <w:pPr>
        <w:spacing w:after="0" w:line="164"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addition to the GDPR and UK GDPR, the European Commission also has another draft regulation in the approval process that focuses on electronic communications. The proposed legislation, known as the Regulation on Privacy and Electronic Communications, or ePrivacy Regulation, would replace the current ePrivacy Directive (2002/58/EC). Originally planned to be adopted and implemented at the same time as the GDPR, the ePrivacy Regulation has yet to be finalized. We may need to spend additional time and effort addressing the additional requirements of the ePrivacy Regulation once finalized and ratified. The ePrivacy Regulation may include enhanced consent requirements in order to use communications content and communications metadata, which may negatively impact our product offerings and our relationships with our merchants. Under the existing rules in the ePrivacy Directive, informed consent is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While the text of the ePrivacy Regulation is still under development, recent European court decisions, European supervisory authorities and regulators’ guidance and enforcement action on cookie-related matters and civil proceedings brought by individuals are driving increased attention to cookies and tracking technologies. This could require significant systems changes, limit the effectiveness of our fraud detection capabilities,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individuals, may lead to broader restrictions and impairments on our marketing and personalization activities, may negatively impact our efforts to understand users, and, as a result of us being able to process less data, make our automated decisioning process less accurate.</w:t>
      </w:r>
    </w:p>
    <w:p>
      <w:pPr>
        <w:spacing w:after="0" w:line="15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The withdrawal of the United Kingdom from the European Union has created uncertainty with regard to the regulation of data protection in the United Kingdom. Since the beginning of 2021 (when the transitional period following Brexit expired), we have been required to comply with the GDPR as well as the UK GDPR, which exposes us to two parallel regimes.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 ranging reform of UK data protection laws following Brexit. There is a risk that any material changes which are made to the UK data protection regime could result in the Commission reviewing the adequacy decision, and the UK losing its adequacy decision if the Commission deems the UK to no longer provide adequate protection for personal data. These changes may lead to additional costs and increase our overall risk exposure.</w:t>
      </w:r>
    </w:p>
    <w:p>
      <w:pPr>
        <w:spacing w:after="0" w:line="15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we are also subject to the Israeli Privacy Protection Law, 5741-1981, and its regulations, including the Israeli Privacy Protection Regulations (Data Security), 5767-2017, or the Data Security Regulations, together the PPL, which came into effect in Israel in May 2018 and impose obligations with respect to the manner personal data is processed, maintained, transferred, disclosed, accessed and secured, as well as the guidelines of the Israeli Privacy Protection Authority.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the Authority has done in the past with respect to dozens of Israeli companies in various business sectors. In addition, to the extent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30" w:name="page31"/>
    <w:bookmarkEnd w:id="30"/>
    <w:p>
      <w:pPr>
        <w:jc w:val="both"/>
        <w:ind w:right="160"/>
        <w:spacing w:after="0" w:line="248" w:lineRule="auto"/>
        <w:rPr>
          <w:sz w:val="20"/>
          <w:szCs w:val="20"/>
          <w:color w:val="auto"/>
        </w:rPr>
      </w:pPr>
      <w:r>
        <w:rPr>
          <w:rFonts w:ascii="Arial" w:cs="Arial" w:eastAsia="Arial" w:hAnsi="Arial"/>
          <w:sz w:val="18"/>
          <w:szCs w:val="18"/>
          <w:color w:val="auto"/>
        </w:rPr>
        <w:t>administrative supervision procedure is initiated by the Israeli Privacy Protection Authority that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153"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 xml:space="preserve">Complying with the GDPR, UK GDPR, CCPA, CPRA, VCPDA, PPL, ePrivacy Directive (and the ePrivacy Regulation when it replaces the ePrivacy Directive) may cause us to incur substantial operational costs or require us to change our business practices. Despite our efforts to bring practices into compliance with the GDPR and before the effective date of the ePrivacy Regulation (and other applicable privacy laws), we may not be successful in our efforts to achieve compliance either due to internal or external factors such as resource allocation limitations or a lack of vendor cooperation. Non-compliance with any of these privacy or security laws, regulations, or industry standards could result in proceedings against us by governmental entities, merchants, data subjects, or others. We may also experience difficulty retaining or obtaining new European or multi-national merchants due to the legal requirements, compliance cost, potential risk exposure, and uncertainty for these entities, and we may experience significantly increased liability with respect to these merchants pursuant to the terms set forth in our engagements with them. We may find it necessary to establish additional systems and processes to maintain such data in various jurisdictions, including, </w:t>
      </w:r>
      <w:r>
        <w:rPr>
          <w:rFonts w:ascii="Arial" w:cs="Arial" w:eastAsia="Arial" w:hAnsi="Arial"/>
          <w:sz w:val="17"/>
          <w:szCs w:val="17"/>
          <w:i w:val="1"/>
          <w:iCs w:val="1"/>
          <w:color w:val="auto"/>
        </w:rPr>
        <w:t>inter alia</w:t>
      </w:r>
      <w:r>
        <w:rPr>
          <w:rFonts w:ascii="Arial" w:cs="Arial" w:eastAsia="Arial" w:hAnsi="Arial"/>
          <w:sz w:val="17"/>
          <w:szCs w:val="17"/>
          <w:color w:val="auto"/>
        </w:rPr>
        <w:t>, the European Economic Area, which may involve substantial expense and distraction from other aspects of our business.</w:t>
      </w:r>
    </w:p>
    <w:p>
      <w:pPr>
        <w:spacing w:after="0" w:line="14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Data compliance in other countries outside EEA, the United Kingdom, Israel and the United States may be even more complex and varied making it difficult to comply with them all. For example, under China’s Cybersecurity Law, any collection, use, transfer and storage of personal information of a Chinese citizen through a network by the network operator should be based on the three principles of legitimacy, justification and necessity and requires the consent of the data subject. The rules, purposes, methods and ranges of such collection should also be disclosed to the data subject. China’s data localization requirements are becoming increasingly common in sector-specific regulations. China’s Cybersecurity Law requires operators of critical information infrastructure (“CIIOs”) to store personal information and important data collected and generated from the critical information infrastructure within China. Failure to do so can result in fines of up to RMB 100,000 for the relevant entity as well as for the personnel directly responsible.</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China’s Data Security Law (“Data Security Law”) became effective on September 1, 2021. The primary purpose of the Data Security Law is to regulate data activities, safeguard data security, promote data development and usage, protect individuals and entities’ legitimate rights and interests, and safeguard state sovereignty, state security and development interests. The Data Security Law applies extra-territorially, and to a broad range of activities that involve “data” (not only personal or sensitive data). Under the Data Security Law, entities and individuals carrying out data activities must abide by various data security obligations. For example, the Data Security Law proposes to classify and protect data based on the importance of data to the state’s economic development, as well as the degree of harm it will cause to national security, public interests, or legitimate rights and interests of individuals or organizations when such data is tampered with, destroyed, leaked, or illegally acquired or used. The appropriate level of protective measures is required to be taken for each respective class of data. The Data Security Law also echoes the data localization requirement in the Cybersecurity Law and requires important data to be stored locally in China. Such important data may only be transferred outside of China subject to compliance with certain data transfer restrictions, such as passing a security assessment organized by the relevant authorities.</w:t>
      </w:r>
    </w:p>
    <w:p>
      <w:pPr>
        <w:spacing w:after="0" w:line="157" w:lineRule="exact"/>
        <w:rPr>
          <w:sz w:val="20"/>
          <w:szCs w:val="20"/>
          <w:color w:val="auto"/>
        </w:rPr>
      </w:pPr>
    </w:p>
    <w:p>
      <w:pPr>
        <w:ind w:right="240" w:firstLine="318"/>
        <w:spacing w:after="0" w:line="246" w:lineRule="auto"/>
        <w:rPr>
          <w:sz w:val="20"/>
          <w:szCs w:val="20"/>
          <w:color w:val="auto"/>
        </w:rPr>
      </w:pPr>
      <w:r>
        <w:rPr>
          <w:rFonts w:ascii="Arial" w:cs="Arial" w:eastAsia="Arial" w:hAnsi="Arial"/>
          <w:sz w:val="18"/>
          <w:szCs w:val="18"/>
          <w:color w:val="auto"/>
        </w:rPr>
        <w:t>On August 20, 2021, China passed the Personal Information Protection Law (“PIPL”), effective on November 1, 2021. Notably, the PIPL, similar to the GDPR, applies extra-territorially. The PIPL is intended to clarify the scope of application, the definitions of personal information and sensitive personal information (which includes medical and health information), the legality of personal information processing and the basic requirements of notice and consent, among other things. The PIPL also sets out data localization requirements for CIIOs and personal information processors who process personal information above a certain threshold prescribed by the relevant authorities. The PIPL also includes a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31" w:name="page32"/>
    <w:bookmarkEnd w:id="31"/>
    <w:p>
      <w:pPr>
        <w:ind w:right="80"/>
        <w:spacing w:after="0" w:line="246" w:lineRule="auto"/>
        <w:rPr>
          <w:sz w:val="20"/>
          <w:szCs w:val="20"/>
          <w:color w:val="auto"/>
        </w:rPr>
      </w:pPr>
      <w:r>
        <w:rPr>
          <w:rFonts w:ascii="Arial" w:cs="Arial" w:eastAsia="Arial" w:hAnsi="Arial"/>
          <w:sz w:val="18"/>
          <w:szCs w:val="18"/>
          <w:color w:val="auto"/>
        </w:rPr>
        <w:t>of rules which must be complied with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w:t>
      </w:r>
    </w:p>
    <w:p>
      <w:pPr>
        <w:spacing w:after="0" w:line="15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 addition to China’s Cybersecurity Law, the Data Security Law and the PIPL, the relevant government authorities of the People’s Republic of China promulgated several regulations or released a number of draft regulations for public comments which are designed to provide further implemental guidance in accordance with the laws mentioned above.</w:t>
      </w:r>
    </w:p>
    <w:p>
      <w:pPr>
        <w:spacing w:after="0" w:line="153"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cannot predict what impact the new laws and regulations, in particular the Data Security Law or PIPL, or the increased costs of compliance, if any, will have on our operations in China due to their recent enactment and the limited guidance available, particularly on PIPL, which entities are awaiting further guidance on. It is also generally unclear how the laws will be interpreted and enforced in practice by the relevant government authorities as often the abovementioned laws are drafted broadly and thus leaves great discretion to the relevant government authorities to exercise.</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Compliance with China’s data laws mentioned above and the various other global data privacy laws that we are subject to has required, and may continue to require, significant company resources and expenditures, and may require further changes in our product suite and brand that increase competition and reduce revenue. 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products and eCommerce risk management platform capabilities. If so, in addition to the possibility of fines, lawsuits, and other claims and penalties, we could be required to fundamentally change our business activities and practices or modify our products and platform capabilities, which could have an adverse effect on our revenues, our results of operations and financial condition. For example, we may not be legally permitted to collect and store information on transactions we process that enable us to improve our products. Any inability to adequately address privacy and security concerns, even if unfounded, or comply with applicable privacy and data security laws, regulations, policies, industry standards, or social expectations of corporate fairness, could result in additional cost and liability to us, damage our reputation, inhibit sales, and adversely affect our revenues, our results of operations and financial condition. Furthermore, the costs of compliance with, and other burdens imposed by, the laws, regulations, and policies that are applicable to the businesses of our merchants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financial condition and results of operations may be adversely affected.</w:t>
      </w:r>
    </w:p>
    <w:p>
      <w:pPr>
        <w:spacing w:after="0" w:line="13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Deco product is subject to lending regulation and oversight. Our failure to comply with extensive, complex, overlapping, and frequently changing rules, regulations, and legal interpretations could have an adverse effect on our revenues, our results of operations and financial condition.</w:t>
      </w:r>
    </w:p>
    <w:p>
      <w:pPr>
        <w:spacing w:after="0" w:line="142"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operate consumer credit programs under our Deco brand. Our Deco credit product and our activities in connection with our Deco credit product are subject to various federal and state consumer credit laws, including laws that require us to maintain state licenses or make notifications or other filings to state regulators, disclosure laws, laws requiring or prohibiting certain contractual terms, laws governing servicing and collection practices, fair lending laws (such as the Equal Credit Opportunity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2" w:name="page33"/>
    <w:bookmarkEnd w:id="32"/>
    <w:p>
      <w:pPr>
        <w:ind w:right="200"/>
        <w:spacing w:after="0" w:line="247" w:lineRule="auto"/>
        <w:rPr>
          <w:sz w:val="20"/>
          <w:szCs w:val="20"/>
          <w:color w:val="auto"/>
        </w:rPr>
      </w:pPr>
      <w:r>
        <w:rPr>
          <w:rFonts w:ascii="Arial" w:cs="Arial" w:eastAsia="Arial" w:hAnsi="Arial"/>
          <w:sz w:val="18"/>
          <w:szCs w:val="18"/>
          <w:color w:val="auto"/>
        </w:rPr>
        <w:t>Regulation B as implemented by the Consumer Financial Protection Bureau, or CFPB), and other applicable laws, regulations, and regulatory guidance. In connection with such laws, we are subject to supervision by licensing regulators in states in which we hold licenses, as well as to regulation and enforcement by other regulators such as the CFPB and Federal Trade Commission, and state attorneys general. We are also subject to industry compliance standards and compliance expectations and requirements of our commercial counterparties in connection with our Deco credit product.</w:t>
      </w:r>
    </w:p>
    <w:p>
      <w:pPr>
        <w:spacing w:after="0" w:line="154"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could be subject to fines, other enforcement action, and litigation if we are found to be in violation of applicable law, which could have an adverse effect on our revenues, our results of operations and financial condition. In addition, changes to state laws, regulations, or regulatory interpretations, or changes in industry or counterparty compliance standards may require us to make product changes, incur substantial additional costs or compliance or forego revenue, or cease lending in a particular state or through a particular merchant.</w:t>
      </w:r>
    </w:p>
    <w:p>
      <w:pPr>
        <w:spacing w:after="0" w:line="133"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i w:val="1"/>
          <w:iCs w:val="1"/>
          <w:color w:val="auto"/>
        </w:rPr>
        <w:t>As the regulatory framework for machine learning technology evolves, our business, financial condition, and results of operations may be adversely affected.</w:t>
      </w:r>
    </w:p>
    <w:p>
      <w:pPr>
        <w:spacing w:after="0" w:line="12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regulatory framework for machine learning technology is evolving and remains uncertain. It is possible that new laws and regulations will be adopted in the United States and in non-U.S. jurisdictions, or that existing laws and regulations may be interpreted in new ways, that would affect the operation of our eCommerce risk management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products and subject us to possible litigation.</w:t>
      </w:r>
    </w:p>
    <w:p>
      <w:pPr>
        <w:spacing w:after="0" w:line="186"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Our products incorporate open-source software, and we expect to continue to incorporate open-source software in our products in the future. Few of the licenses applicable to open-source software have been interpreted by courts, and there is a risk that these licenses could be construed in a manner that could impose unanticipated conditions or restrictions on our ability to commercialize our products. Certain open-source licenses may give rise to requirements to disclose or license our source code or other intellectual property if such open-source software is integrated with our proprietary software in certain ways. We have implemented policies to regulate the use and incorporation of open-source software into our products in a manner that mitigates the risk of subjecting our proprietary code to these restrictions. However, we cannot be certain that we have incorporated open-source software in our products in a manner that is consistent with such policies. If we fail to comply with our policies, or if our policies are flawed, we may be subject to certain requirements, including requirements that we offer our products that incorporate or link to the open-source software for free, or that we make available our proprietary source code to our licensees. If a third party were to allege that we had not complied with the conditions of one or more of these licenses, we could be required to incur significant legal expenses defending against such allegations and could be subject to significant damages, enjoined from generating revenue from merchants using products that contained the open-source software and required to comply with onerous conditions or restrictions on these products. In any of these events, we and our merchants could be required to seek licenses from third parties in order to continue offering our products and to re-engineer our products or we could be required to discontinue offering our products to merchants in the event re-engineering cannot be accomplished on a timely basis. Any of the foregoing could require us to devote additional research and development resources to re-engineer our products, could result in merchant dissatisfaction and may adversely affect our business, financial condition and results of operations.</w:t>
      </w:r>
    </w:p>
    <w:p>
      <w:pPr>
        <w:spacing w:after="0" w:line="150" w:lineRule="exact"/>
        <w:rPr>
          <w:sz w:val="20"/>
          <w:szCs w:val="20"/>
          <w:color w:val="auto"/>
        </w:rPr>
      </w:pPr>
    </w:p>
    <w:p>
      <w:pPr>
        <w:ind w:right="320" w:firstLine="318"/>
        <w:spacing w:after="0" w:line="248" w:lineRule="auto"/>
        <w:rPr>
          <w:sz w:val="20"/>
          <w:szCs w:val="20"/>
          <w:color w:val="auto"/>
        </w:rPr>
      </w:pPr>
      <w:r>
        <w:rPr>
          <w:rFonts w:ascii="Arial" w:cs="Arial" w:eastAsia="Arial" w:hAnsi="Arial"/>
          <w:sz w:val="18"/>
          <w:szCs w:val="18"/>
          <w:color w:val="auto"/>
        </w:rPr>
        <w:t>In addition, the use of open-source software may entail greater risks than the use of third-party commercial software, as open-source licensors generally do not provide warranties or other contractual protections regarding infringement claims or the quality of the code. To the extent that our eCommerce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18"/>
          <w:szCs w:val="18"/>
          <w:color w:val="auto"/>
        </w:rPr>
        <w:t>risk management platform depends upon the successful operation of the open-source software we use, any undetected errors or defects in this open-source software could prevent the deployment or impair the functionality of our platform, delay the introduction of new products,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33"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Our business depends on the strength of our brand, and if we are not able to maintain and enhance our brand, we may be unable to sell our products, which could have a material adverse effect on our business, financial condition and results of operations.</w:t>
      </w:r>
    </w:p>
    <w:p>
      <w:pPr>
        <w:spacing w:after="0" w:line="129"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Our brand is integral to the growth of our business and to the implementation of our strategies for expanding our business. We believe that our brand has significantly contributed to the success of our business and is critical to maintaining and expanding our merchant base. Maintaining and enhancing our brand may require us to make substantial investments in areas such as research and development, marketing, eCommerce, and merchant experience, and these investments may not be successful.</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anticipate that, as our business expands into new markets and new product categories, and as the industries in which we operate become increasingly competitive, maintaining and enhancing our brand may become difficult and expensive. For example, consumers in any new international markets into which we expand may not know our brand and/or may not accept our brand, resulting in increased costs to market to and attract merchants to our brand. Further, as we grow our retail partnerships, it may be difficult for us to maintain control of our brand with our retail partners, which may result in negative perceptions of our brand. Our brand may also be adversely affected if our public image or reputation is tarnished by negative publicity, including negative social media campaigns or poor reviews of our products or merchant experiences. In addition, ineffective marketing, product diversion to unauthorized distribution channels, product defects, unfair labor practices, and failure to protect our intellectual property rights are some of the potential threats to the strength of our brand, and those and other factors could rapidly and severely diminish consumer confidence in us. Maintaining and enhancing our brand will depend largely on our ability to continue to be a leader in the industries in which we operate and to continue to offer a range of high-quality products as well as a leading end-to-end experience to our merchants, which we may not execute successfully. Failure to maintain the strength of our brand could have a material adverse effect on our business, financial condition and results of operations.</w:t>
      </w:r>
    </w:p>
    <w:p>
      <w:pPr>
        <w:spacing w:after="0" w:line="1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shareholder value, and adversely affect our business, financial condition and results of operations.</w:t>
      </w:r>
    </w:p>
    <w:p>
      <w:pPr>
        <w:spacing w:after="0" w:line="142"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We may in the future seek to acquire or invest in businesses, joint ventures, products and platform capabilities, or technologies that we believe could complement or expand our products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the acquired companies, particularly if we are unable to retain the key personnel of the acquired company, their software is not easily adapted to work with our eCommerce risk management platform, or we have difficulty retaining the merchants of any acquired business due to changes in ownership, management, or otherwise. These transactions may also disrupt our business, divert our resources, and require significant management attention that would otherwise be available for development of our existing business. We additionally have limited experience in acquiring other businesses. Any such transactions that we are able to complete may not result in any synergies or other benefits we had expected to achieve, which could result in substantial impairment charges.</w:t>
      </w:r>
    </w:p>
    <w:p>
      <w:pPr>
        <w:spacing w:after="0" w:line="144"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In addition, we may not be able to find and identify desirable acquisition targets or business opportunities or be successful in entering into an agreement with any particular strategic partner.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4" w:name="page35"/>
    <w:bookmarkEnd w:id="34"/>
    <w:p>
      <w:pPr>
        <w:ind w:right="140"/>
        <w:spacing w:after="0" w:line="248" w:lineRule="auto"/>
        <w:rPr>
          <w:sz w:val="20"/>
          <w:szCs w:val="20"/>
          <w:color w:val="auto"/>
        </w:rPr>
      </w:pPr>
      <w:r>
        <w:rPr>
          <w:rFonts w:ascii="Arial" w:cs="Arial" w:eastAsia="Arial" w:hAnsi="Arial"/>
          <w:sz w:val="18"/>
          <w:szCs w:val="18"/>
          <w:color w:val="auto"/>
        </w:rPr>
        <w:t>transactions could also result in dilutive issuances of equity securities or the incurrence of debt, which could adversely affect our operating results. Further, if the resulting business from such a transaction fails to meet our expectations, our business, financial condition and results of operations may be adversely affected or we may be exposed to unknown risks or liabilities.</w:t>
      </w:r>
    </w:p>
    <w:p>
      <w:pPr>
        <w:spacing w:after="0" w:line="131" w:lineRule="exact"/>
        <w:rPr>
          <w:sz w:val="20"/>
          <w:szCs w:val="20"/>
          <w:color w:val="auto"/>
        </w:rPr>
      </w:pPr>
    </w:p>
    <w:p>
      <w:pPr>
        <w:jc w:val="right"/>
        <w:ind w:right="420"/>
        <w:spacing w:after="0" w:line="371" w:lineRule="auto"/>
        <w:rPr>
          <w:sz w:val="20"/>
          <w:szCs w:val="20"/>
          <w:color w:val="auto"/>
        </w:rPr>
      </w:pPr>
      <w:r>
        <w:rPr>
          <w:rFonts w:ascii="Arial" w:cs="Arial" w:eastAsia="Arial" w:hAnsi="Arial"/>
          <w:sz w:val="17"/>
          <w:szCs w:val="17"/>
          <w:b w:val="1"/>
          <w:bCs w:val="1"/>
          <w:i w:val="1"/>
          <w:iCs w:val="1"/>
          <w:color w:val="auto"/>
        </w:rPr>
        <w:t xml:space="preserve">We may be sued by third parties for alleged infringement, misappropriation or other violation of their intellectual property rights. </w:t>
      </w:r>
      <w:r>
        <w:rPr>
          <w:rFonts w:ascii="Arial" w:cs="Arial" w:eastAsia="Arial" w:hAnsi="Arial"/>
          <w:sz w:val="17"/>
          <w:szCs w:val="17"/>
          <w:color w:val="auto"/>
        </w:rPr>
        <w:t>There is considerable technology development activity in our industry, and our competitors are vigilant in protecting and asserting their</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intellectual property rights. Accordingly, our success depends in part on avoiding infringing or otherwise violating the intellectual property rights of others. From time to time, our competitors or other third parties may claim that we are infringing upon their intellectual property rights, and we may be found to be infringing upon such rights. Any claims or litigation, regardless of merit, could cause us to incur significant expenses and, if successfully asserted against us, could require us to pay substantial damages or ongoing royalty payments, could prevent us from offering our products and eCommerce risk management platform capabilities, or could require us to redesign or rebrand our products so that they are non-infringing. Furthermore, we do not currently have a patent portfolio, which could prevent us from deterring patent infringement claims due to our inability to credibly threaten patent infringement counterclaims. Even if we obtain patents in the future, our competitors and others may have significantly larger patent portfolios. Further, non-practicing entities seeking to extract a settlement from companies like us may not be deterred by a patent portfolio of any size because their sole or primary business is the assertion of patent claims.</w:t>
      </w:r>
    </w:p>
    <w:p>
      <w:pPr>
        <w:spacing w:after="0" w:line="14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Litigation is inherently uncertain and even if we were to prevail in the event of claims or litigation against us, these claims, and the time and resources necessary to resolve them, could divert the resources of our management and adversely affect our revenues, our results of operations and financial condition. Moreover, as part of any settlement or other compromise to avoid complex, protracted litigation, we may agree not to pursue future claims against a third party, including claims related to alleged infringement of our intellectual property rights. Any settlement or other compromise with another party may resolve a potentially costly dispute but may also affect our ability to defend and protect our intellectual property rights, which in turn could adversely affect our business, financial conditions, and results of operations. We expect that the occurrence of infringement claims is likely to grow as the market for our products grows. Accordingly, our exposure to damages resulting from infringement claims could increase and this could further exhaust our financial and management resources. Patent infringement, trademark infringement, trade secret misappropriation and other intellectual property claims and proceedings brought against us, whether successful or not, could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force could impede our revenue growth.</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ability to increase our revenue growth will depend on our ability to expand our marketing and sales operations. We plan to continue to expand our sales force by identifying and recruiting personnel with appropriate experience and training them in the use of our products, which requires significant time, expense and attention. Our business may be adversely affected if our efforts to expand and train our sales force are not successful or do not generate a corresponding increase in revenues. There is also significant competition in our industry for sales personnel with the skills and technical knowledge that we require and the costs of hiring and retaining these personnel can be high. In particular, if we are unable to hire, develop and retain talented sales personnel or if new sales personnel are unable to achieve desired productivity levels in a reasonable period of time, we may not be able to realize the expected benefits of our efforts to expand our sales force or increase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operating results.</w:t>
      </w:r>
    </w:p>
    <w:p>
      <w:pPr>
        <w:spacing w:after="0" w:line="18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merchant agreements and partner and services contracts are primarily denominated in U.S. dollars, and therefore substantially all of our revenue transactions are not subject to foreign currency risk as the U.S. dollar is also the functional currency of our consolidated subsidiaries. However, a strengthening of the U.S. dollar could increase the relative cost of our eCommerce risk management platform to our merchants outside of the United States, which could adversely affect our operating results. In addition, an increasing portion of our operating expenses are incurred and an increasing portion of our assets are held outside the United States, and in particular in Israel. These operating expenses and assets are denominated in foreign currencies and are subject to fluctuations due to changes in foreign currency exchange rates. In particular, any strengthening of the New Israeli Shekels, or NIS, against the U.S. dollar will result in increasing costs. If we are not able to successfully hedge against the risks associated with currency fluctuations, our operating results could be adversely affected. For discussion of the impact of fluctuations in foreign currency exchange rates on our business, see Item 11. “</w:t>
      </w:r>
      <w:r>
        <w:rPr>
          <w:rFonts w:ascii="Arial" w:cs="Arial" w:eastAsia="Arial" w:hAnsi="Arial"/>
          <w:sz w:val="18"/>
          <w:szCs w:val="18"/>
          <w:i w:val="1"/>
          <w:iCs w:val="1"/>
          <w:color w:val="auto"/>
        </w:rPr>
        <w:t>Quantitative and Qualitative 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Market Risk-Foreign Currency Exchange Risk</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results of operations.</w:t>
      </w:r>
    </w:p>
    <w:p>
      <w:pPr>
        <w:spacing w:after="0" w:line="136"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b w:val="1"/>
          <w:bCs w:val="1"/>
          <w:i w:val="1"/>
          <w:iCs w:val="1"/>
          <w:color w:val="auto"/>
        </w:rPr>
        <w:t>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p>
    <w:p>
      <w:pPr>
        <w:spacing w:after="0" w:line="14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must comply with anti-corruption laws and regulations imposed by governments around the world with jurisdiction over our operations, which may include the U.S. Foreign Corrupt Practices Act of 1977, or the FCPA, the U.K. Bribery Act 2010, or the Bribery Act, and Chapter 9 (sub-chapter 5) of the Israeli Penal Law, 5737-1977 and the Israeli Prohibition on Money Laundering Law, 5760-2000, collectively, the Israeli Anti-Corruption Laws, as well as the laws of the countries where we do business. These laws and regulations apply to companies, individual directors, officers, employees and agents acting on our behalf. Where they apply, the FCPA, the Bribery Act, and the Israeli Anti-Corruption Laws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anti-corruption laws, including the FCPA, the Bribery Act, and the Israeli Anti-Corruption Laws.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57" w:lineRule="exact"/>
        <w:rPr>
          <w:sz w:val="20"/>
          <w:szCs w:val="20"/>
          <w:color w:val="auto"/>
        </w:rPr>
      </w:pPr>
    </w:p>
    <w:p>
      <w:pPr>
        <w:ind w:right="600" w:firstLine="318"/>
        <w:spacing w:after="0" w:line="251" w:lineRule="auto"/>
        <w:rPr>
          <w:sz w:val="20"/>
          <w:szCs w:val="20"/>
          <w:color w:val="auto"/>
        </w:rPr>
      </w:pPr>
      <w:r>
        <w:rPr>
          <w:rFonts w:ascii="Arial" w:cs="Arial" w:eastAsia="Arial" w:hAnsi="Arial"/>
          <w:sz w:val="18"/>
          <w:szCs w:val="18"/>
          <w:color w:val="auto"/>
        </w:rPr>
        <w:t>Our business also must be conducted in compliance with applicable economic and financial sanctions, trade embargoes, and export controls, such as those administered and enforced by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89" w:right="359" w:bottom="1440" w:gutter="0" w:footer="0" w:header="0"/>
        </w:sectPr>
      </w:pPr>
    </w:p>
    <w:bookmarkStart w:id="36" w:name="page37"/>
    <w:bookmarkEnd w:id="36"/>
    <w:p>
      <w:pPr>
        <w:ind w:right="620"/>
        <w:spacing w:after="0" w:line="251" w:lineRule="auto"/>
        <w:rPr>
          <w:sz w:val="20"/>
          <w:szCs w:val="20"/>
          <w:color w:val="auto"/>
        </w:rPr>
      </w:pPr>
      <w:r>
        <w:rPr>
          <w:rFonts w:ascii="Arial" w:cs="Arial" w:eastAsia="Arial" w:hAnsi="Arial"/>
          <w:sz w:val="18"/>
          <w:szCs w:val="18"/>
          <w:color w:val="auto"/>
        </w:rPr>
        <w:t>Department of Treasury’s Office of Foreign Assets Control, the U.S. Department of State, the U.S. Department of Commerce, the United Nations Security Council, the State of Israel, and other relevant sanctions and export control authorities.</w:t>
      </w:r>
    </w:p>
    <w:p>
      <w:pPr>
        <w:spacing w:after="0" w:line="150" w:lineRule="exact"/>
        <w:rPr>
          <w:sz w:val="20"/>
          <w:szCs w:val="20"/>
          <w:color w:val="auto"/>
        </w:rPr>
      </w:pPr>
    </w:p>
    <w:p>
      <w:pPr>
        <w:ind w:right="200" w:firstLine="318"/>
        <w:spacing w:after="0" w:line="246" w:lineRule="auto"/>
        <w:rPr>
          <w:sz w:val="20"/>
          <w:szCs w:val="20"/>
          <w:color w:val="auto"/>
        </w:rPr>
      </w:pPr>
      <w:r>
        <w:rPr>
          <w:rFonts w:ascii="Arial" w:cs="Arial" w:eastAsia="Arial" w:hAnsi="Arial"/>
          <w:sz w:val="18"/>
          <w:szCs w:val="18"/>
          <w:color w:val="auto"/>
        </w:rPr>
        <w:t>Our global operations expose us to the risk of violating, or being accused of violating, anti-corruption laws, anti-money laundering laws, economic and financial sanctions, trade embargoes and export controls.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business or customers,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materially adversely affect our business, financial condition and results of operations.</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The COVID-19 pandemic, the measures attempting to contain and mitigate the effects of the COVID-19 pandemic, including stay-at-home, business closure, social distancing, capsuled labor and other restrictive orders, and the resulting changes in consumer behaviors and flow-on effects such as supply chain disruptions, have disrupted our normal operations and impacted our employees, suppliers and merchants. In response to the COVID-19 pandemic, we have taken a number of actions that have impacted and continue to impact our business, including transitioning employees in our Tel Aviv office, Shanghai office, London office, Melbourne office and in our corporate headquarters in New York to remote work-from-home arrangements and imposing travel and related restrictions. While we believe these actions were reasonable and necessary as a result of the COVID-19 pandemic, they have been disruptive to our business and could adversely impact our financial condition and results of operations.</w:t>
      </w:r>
    </w:p>
    <w:p>
      <w:pPr>
        <w:spacing w:after="0" w:line="158" w:lineRule="exact"/>
        <w:rPr>
          <w:sz w:val="20"/>
          <w:szCs w:val="20"/>
          <w:color w:val="auto"/>
        </w:rPr>
      </w:pPr>
    </w:p>
    <w:p>
      <w:pPr>
        <w:ind w:right="440" w:firstLine="318"/>
        <w:spacing w:after="0" w:line="251" w:lineRule="auto"/>
        <w:rPr>
          <w:sz w:val="20"/>
          <w:szCs w:val="20"/>
          <w:color w:val="auto"/>
        </w:rPr>
      </w:pPr>
      <w:r>
        <w:rPr>
          <w:rFonts w:ascii="Arial" w:cs="Arial" w:eastAsia="Arial" w:hAnsi="Arial"/>
          <w:sz w:val="18"/>
          <w:szCs w:val="18"/>
          <w:color w:val="auto"/>
        </w:rPr>
        <w:t>Given the continued prevalence of COVID-19 and the resultant personal, economic, and governmental reactions, we may have to take additional actions in the future that could adversely affect our business, financial condition, and results of operations.</w:t>
      </w:r>
    </w:p>
    <w:p>
      <w:pPr>
        <w:spacing w:after="0" w:line="150"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These changes have, and may continue to, negatively impact our operations, sales and marketing in particular, which could have longer-term effects on our sales pipeline, or create operational or other challenges as our workforce remains predominantly remote, any of which could adversely affect our business, financial condition, and results of operations. In addition, our management team has spent, and will likely continue to spend, significant time, attention, and resources monitoring the COVID-19 pandemic and associated global economic uncertainty and seeking to manage its effects on our business and workforce. The degree to which COVID-19 will affect our business, financial condition, and results of operations will depend on future developments that are highly uncertain and cannot currently be predicted. These developments include, but are not limited to, the duration, extent, and severity of the COVID-19 pandemic in different geographies, actions taken to contain the COVID-19 pandemic, the impact of the COVID-19 pandemic and related restrictions on economic activity and domestic and international trade, the timeline for economic recovery, including the success of vaccine and booster rollout, and the extent of the impact of these and other factors on our employees, suppliers, partners, merchants and consumers. It could disrupt or delay the ability of employees to work because they become sick or are required to care for those who become sick, or for dependents for whom external care is not available.</w:t>
      </w:r>
    </w:p>
    <w:p>
      <w:pPr>
        <w:spacing w:after="0" w:line="122"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While we may not be able to enforce non-compete agreements we enter into with our employees, our current and future competition may attempt to enforce similar agreements with individuals we recruit or attempt to recruit.</w:t>
      </w:r>
    </w:p>
    <w:p>
      <w:pPr>
        <w:spacing w:after="0" w:line="129"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We generally enter into agreements with our employees which prohibit our employees, if they cease working for us, from competing directly with us or working for our current and future competition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7" w:name="page38"/>
    <w:bookmarkEnd w:id="37"/>
    <w:p>
      <w:pPr>
        <w:ind w:right="20"/>
        <w:spacing w:after="0" w:line="247" w:lineRule="auto"/>
        <w:rPr>
          <w:sz w:val="20"/>
          <w:szCs w:val="20"/>
          <w:color w:val="auto"/>
        </w:rPr>
      </w:pPr>
      <w:r>
        <w:rPr>
          <w:rFonts w:ascii="Arial" w:cs="Arial" w:eastAsia="Arial" w:hAnsi="Arial"/>
          <w:sz w:val="18"/>
          <w:szCs w:val="18"/>
          <w:color w:val="auto"/>
        </w:rPr>
        <w:t>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spacing w:after="0" w:line="154"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spacing w:after="0" w:line="13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9"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or ERP, system as part of our control environment,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w:t>
      </w:r>
    </w:p>
    <w:p>
      <w:pPr>
        <w:spacing w:after="0" w:line="15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to our results determined in accordance with U.S. GAAP, we believe certain non-GAAP measures and key metrics may be useful in evaluating our operating performance. We present certain non-GAAP financial measures and key performance metrics in this Annual Report and intend to continue to present certain non-GAAP financial measures and key performance metrics in future filings with the SEC and other public statements. Any failure to accurately report and present our non-GAAP financial measures and key performance metrics could cause investors to lose confidence in our reported financial and other information, which would likely have a negative effect on the trading price of our Class A ordinary shares.</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as a result of our growth and expansion, changes to or additions of new products or otherwise. Further, weaknesses in our disclosure controls and internal control over financial reporting may be discovered in the future. Any failure to develop or maintain effective controls or any difficulties encountered in their implementation or improvement could harm our business, financial condition, and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that we will be required to include in our second annual report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38" w:name="page39"/>
    <w:bookmarkEnd w:id="38"/>
    <w:p>
      <w:pPr>
        <w:ind w:right="40"/>
        <w:spacing w:after="0" w:line="246" w:lineRule="auto"/>
        <w:rPr>
          <w:sz w:val="20"/>
          <w:szCs w:val="20"/>
          <w:color w:val="auto"/>
        </w:rPr>
      </w:pPr>
      <w:r>
        <w:rPr>
          <w:rFonts w:ascii="Arial" w:cs="Arial" w:eastAsia="Arial" w:hAnsi="Arial"/>
          <w:sz w:val="18"/>
          <w:szCs w:val="18"/>
          <w:color w:val="auto"/>
        </w:rPr>
        <w:t>file with the SEC and annual independent registered public accounting firm attestation reports regarding the effectiveness of our internal control over financial reporting that we will be required to include in our annual reports after we lose our status as an “emerging growth company.” Ineffective disclosure controls and procedures and internal control over financial reporting could also cause investors to lose confidence in our reported financial and other information, which would likely have a negative effect on the trading price of our Class A ordinary shares. In addition, if we are unable to continue to meet these requirements, we may not be able to remain listed on the New York Stock Exchange (“NYSE”).</w:t>
      </w:r>
    </w:p>
    <w:p>
      <w:pPr>
        <w:spacing w:after="0" w:line="158"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We are required to furnish a report by management on, among other things, the effectiveness of our internal control over financial reporting pursuant to Section 404(a) of the Sarbanes-Oxley Act of 2002 (the “Sarbanes-Oxley Act”) in the second annual report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when we are no longer an “emerging growth company,” our independent registered public accounting firm will be required to formally attest to the effectiveness of our internal control over financial reporting pursuant to Section 404(b) of the Sarbanes-Oxley Act. At such time, our independent registered public accounting firm may issue a report that is adverse in the event it is not satisfied with the level at which our internal control over financial reporting is documented, designed or operating. We will remain an “emerging growth company” until the earliest of: (1) December 31, 2026, (2) the last day of the first fiscal year in which our annual gross revenue is $1.07 billion or more; (3) the date on which we have, during the previous rolling three-year period, issued more than $1 billion in non-convertible debt securities; and (4) the date we qualify as a “large accelerated filer.”</w:t>
      </w:r>
    </w:p>
    <w:p>
      <w:pPr>
        <w:spacing w:after="0" w:line="142"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To achieve compliance with Section 404 of the Sarbanes-Oxley Act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As a result, the market price of our Class A ordinary shares could be negatively affected, and we could become subject to investigations by the SEC or other regulatory authorities, which could require additional financial and management resources.</w:t>
      </w:r>
    </w:p>
    <w:p>
      <w:pPr>
        <w:spacing w:after="0" w:line="15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adversely affect our business, financial condition, and results of operations and could cause a decline in the price of our Class A ordinary shares.</w:t>
      </w:r>
    </w:p>
    <w:p>
      <w:pPr>
        <w:spacing w:after="0" w:line="12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business, financial condition and results of operations may be adversely affected.</w:t>
      </w:r>
    </w:p>
    <w:p>
      <w:pPr>
        <w:spacing w:after="0" w:line="12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our consolidated financial statements and accompanying notes. Actual results could differ materially from these estimates. We base our estimates on assumptions (both historical and forward looking), trends, and various other assumptions that are believed to be reasonable, as provided in Note 2 to our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39" w:name="page40"/>
    <w:bookmarkEnd w:id="39"/>
    <w:p>
      <w:pPr>
        <w:ind w:right="180"/>
        <w:spacing w:after="0" w:line="246" w:lineRule="auto"/>
        <w:rPr>
          <w:sz w:val="20"/>
          <w:szCs w:val="20"/>
          <w:color w:val="auto"/>
        </w:rPr>
      </w:pPr>
      <w:r>
        <w:rPr>
          <w:rFonts w:ascii="Arial" w:cs="Arial" w:eastAsia="Arial" w:hAnsi="Arial"/>
          <w:sz w:val="18"/>
          <w:szCs w:val="18"/>
          <w:color w:val="auto"/>
        </w:rPr>
        <w:t>statements. The results of these estimates form the basis for making judgments about the carrying values of assets, liabilities, and equity, in addition to the amount of revenue and expenses that are not readily apparent from other sources. Significant assumptions and estimates are used to prepare our consolidated financial statements, including those related to the estimated customer life on deferred contract acquisition costs, the allowance for doubtful accounts, the fair value of financial assets and liabilities, the useful lives of property and equipment, capitalization and estimated useful life of internal-use software, share-based compensation including the determination of the fair value of our Class A ordinary shares, the fair value of indemnification guarantees and the associated systematic and rational amortization method, provisions for chargebacks, net, the fair value of convertible preferred share warrant liabilities and convertible preferred share tranche rights, and the valuation of deferred tax assets and uncertain tax positions. Our business,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ordinary shares.</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conduct business in China, which exposes us to political, legal, and economic risks, and we may be subject to negative publicity in China, which could damage our reputation and have an adverse effect on our revenues, our results of operations and financial condition.</w:t>
      </w:r>
    </w:p>
    <w:p>
      <w:pPr>
        <w:spacing w:after="0" w:line="14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Conducting business in China exposes us to political, legal, and economic risks. In particular, the political, legal, and economic climate in China, both nationally and regionally, is fluid and unpredictable. Our products may be subject to regulations in China now or in the future, including with respect to data privacy, foreign exchange controls, and licensing, that may require us to incur new or additional compliance or other administrative costs. Applicable laws and regulations in China may not be well publicized and may not be known to us in advance of us becoming subject to them, and the implementation of such laws and regulations may be inconsistent. Changes in Chinese laws and regulations, including, among others, with regards to disclosure of information, data privacy, intellectual property, tax matters, or changes in their implementation by local authorities, could affect us as well as our merchants and could have a material adverse impact on our business, financial condition, and results of operations. Furthermore, our brand could be subject to adverse publicity if incidents related to our image or the products we offer occur or are perceived to have occurred, whether or not we are at fault. In particular, given the popularity of social media in China, including WeChat and Weibo, any negative publicity, regardless of its truthfulness, could quickly proliferate and harm consumer perceptions of and confidence in the Company.</w:t>
      </w:r>
    </w:p>
    <w:p>
      <w:pPr>
        <w:spacing w:after="0" w:line="13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b w:val="1"/>
          <w:bCs w:val="1"/>
          <w:i w:val="1"/>
          <w:iCs w:val="1"/>
          <w:color w:val="auto"/>
        </w:rPr>
        <w:t>Changes in tax laws or regulations we are subject to in various tax jurisdictions may have an adverse effect on us or our merchants and could increase our costs and harm our business.</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New income, sales, use, or other tax laws, regulations, or ordinances could be enacted or new interpretations of existing tax laws, regulations, or ordinances could be adopted at any time. Those changes could adversely affect our domestic and international business operations, results of operations and financial condition. These events could require us or our merchants to pay additional tax amounts on a prospective or retroactive basis, as well as require us or our merchants to pay fines and/or penalties and interest for past amounts deemed to be due. If we are required to collect such additional tax amounts from our merchants and are unsuccessful in collecting such taxes due from our merchants, we could be held liable for such costs, thereby adversely affecting our results of operations and harming our business. If we raise our prices to offset the costs of these changes, existing and potential future merchants may elect not to purchase our products in the future. Additionally, new, changed, modified, or newly interpreted or applied tax laws could increase our merchants’ and our compliance, operating, and other costs. Further, these events could decrease the capital we have available to operate our business. Any or all of these events could harm our business, results of operations, and financial condition.</w:t>
      </w:r>
    </w:p>
    <w:p>
      <w:pPr>
        <w:spacing w:after="0" w:line="157"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 addition, we are subject to taxation in several jurisdictions around the world with increasingly complex tax laws, the application of which can be uncertain. The tax authorities in these jurisdictions could review our tax returns and impose additional tax, interest, and penalties, assert that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0" w:name="page41"/>
    <w:bookmarkEnd w:id="40"/>
    <w:p>
      <w:pPr>
        <w:ind w:right="140"/>
        <w:spacing w:after="0" w:line="251" w:lineRule="auto"/>
        <w:rPr>
          <w:sz w:val="20"/>
          <w:szCs w:val="20"/>
          <w:color w:val="auto"/>
        </w:rPr>
      </w:pPr>
      <w:r>
        <w:rPr>
          <w:rFonts w:ascii="Arial" w:cs="Arial" w:eastAsia="Arial" w:hAnsi="Arial"/>
          <w:sz w:val="18"/>
          <w:szCs w:val="18"/>
          <w:color w:val="auto"/>
        </w:rPr>
        <w:t>withholding requirements apply to us or our subsidiaries, or that benefits of tax treaties are not available to us or our subsidiaries, any of which could harm our business and our results of operations.</w:t>
      </w:r>
    </w:p>
    <w:p>
      <w:pPr>
        <w:spacing w:after="0" w:line="128"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similar taxes for the sale of our products in jurisdictions where we have not historically done so.</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application of indirect taxes (such as sales and use tax, VAT, GST, business tax, and gross receipt tax) to businesses that transact online, such as ours, is a complex and evolving area. An increasing number of states have considered or adopted laws that attempt to impose tax collection obligations on out-of-state companies. Following the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It is possible that we could face sales tax, VAT, or GST audits and that our liability for these taxes could exceed our estimates as state tax authorities could still assert that we are obligated to collect additional tax amounts from our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tax audits in states and international jurisdictions for which we have not accrued tax liabilities. A successful assertion by one or more states requiring us to collect taxes where we presently do not do so could result in substantial tax liabilities (including taxes on past sales, as well as penalties and interest), discourage organizations from purchasing our products, or otherwise harm our business, results of operations, and financial condition. We continue to analyze our exposure for such taxes and liabilities, including the need to provide for loss contingencies resulting from these potential taxes and liabilities. There have been, and will continue to be, substantial ongoing costs associated with complying with the various indirect tax requirements in the numerous markets in which we conduct or will conduct business.</w:t>
      </w:r>
    </w:p>
    <w:p>
      <w:pPr>
        <w:spacing w:after="0" w:line="134" w:lineRule="exact"/>
        <w:rPr>
          <w:sz w:val="20"/>
          <w:szCs w:val="20"/>
          <w:color w:val="auto"/>
        </w:rPr>
      </w:pPr>
    </w:p>
    <w:p>
      <w:pPr>
        <w:ind w:right="260"/>
        <w:spacing w:after="0" w:line="307" w:lineRule="auto"/>
        <w:rPr>
          <w:sz w:val="20"/>
          <w:szCs w:val="20"/>
          <w:color w:val="auto"/>
        </w:rPr>
      </w:pPr>
      <w:r>
        <w:rPr>
          <w:rFonts w:ascii="Arial" w:cs="Arial" w:eastAsia="Arial" w:hAnsi="Arial"/>
          <w:sz w:val="17"/>
          <w:szCs w:val="17"/>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105"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Corporate tax reform, tackling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spacing w:after="0" w:line="153"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2015, the Organization for Economic Co-operation and Development, or the OECD, released various reports under its Base Erosion and Profit Shifting, or BEPS, action plan to reform international tax systems and prevent tax avoidance and aggressive tax planning. These actions aim to standardize and modernize global corporate tax policy, including cross-border taxes, transfer-pricing documentation rules, and nexus-based tax incentive practices which in part are focused on challenges arising from the digitalization of the economy. The reports have a very broad scope, including, but not limited to, neutralizing the effects of hybrid mismatch arrangements, limiting base erosion involving interest deductions and other financial payments, countering harmful tax practices, preventing the granting of treaty benefits in inappropriate circumstances, and imposing mandatory disclosure rules. It is the responsibility of OECD members to consider how the BEPS recommendations should be reflected in their national legislation. Many countries are beginning to implement legislation and other guidance to align their international tax rules with the OECD’s BEPS recommendations―for example, by signing the Multilateral Convention to Implement Tax Treaty Related Measures to Prevent BEPS, or the MLI, which currently has been signed by over 85 jurisdictions, including Israel, which signed the MLI on September 13, 2018. The MLI implements some of the measures that the BEPS initiative proposes to be transposed into existing treaties of participating states. Such measures include the inclusion in tax treaties of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41" w:name="page42"/>
    <w:bookmarkEnd w:id="41"/>
    <w:p>
      <w:pPr>
        <w:spacing w:after="0" w:line="247" w:lineRule="auto"/>
        <w:rPr>
          <w:sz w:val="20"/>
          <w:szCs w:val="20"/>
          <w:color w:val="auto"/>
        </w:rPr>
      </w:pPr>
      <w:r>
        <w:rPr>
          <w:rFonts w:ascii="Arial" w:cs="Arial" w:eastAsia="Arial" w:hAnsi="Arial"/>
          <w:sz w:val="18"/>
          <w:szCs w:val="18"/>
          <w:color w:val="auto"/>
        </w:rPr>
        <w:t>both, of a “limitation-on-benefit,” or LOB, rule and a “principle purposes test,” or PPT, rule. The application of the LOB rule or the PPT rule could deny the availability of tax treaty benefits (such as a reduced rate of withholding tax) under tax treaties. There are likely to be significant changes in the tax legislation of various OECD jurisdictions during the period of implementation of BEPS. Such legislative initiatives may materially and adversely affect our plans to expand internationally and may negatively impact our financial condition, tax liability, and results of operations, and could increase our administrative expenses.</w:t>
      </w:r>
    </w:p>
    <w:p>
      <w:pPr>
        <w:spacing w:after="0" w:line="132"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b w:val="1"/>
          <w:bCs w:val="1"/>
          <w:i w:val="1"/>
          <w:iCs w:val="1"/>
          <w:color w:val="auto"/>
        </w:rPr>
        <w:t>Changes in, or adverse applications of, insurance laws or regulations in the jurisdictions in which we operate could subject our business to additional regulation, which could impact our future financial position and results of operations.</w:t>
      </w:r>
    </w:p>
    <w:p>
      <w:pPr>
        <w:spacing w:after="0" w:line="12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New insurance laws, regulations, or ordinances could be enacted or new interpretations or adverse applications of existing insurance laws, regulations, or ordinances could be adopted at any time. If the company is classified as an insurance company in any jurisdiction due to our product, the Chargeback Guarantee, such classification could adversely affect our future financial position and results of operations by, among other things, increasing the costs of regulatory compliance, limiting or restricting the products we provide, including our ability to provide the Chargeback Guarantee, or the methods by which we provide them and subjecting us to the possibility of regulatory actions or proceedings. If we are unable to comply with such regulations, we may be precluded or temporarily suspended from carrying on some or all of the activities of our business or otherwise be fined or penalized in a given jurisdiction.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Class A Ordinary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 price of our Class A ordinary shares has been and may continue to be volatile</w:t>
      </w:r>
    </w:p>
    <w:p>
      <w:pPr>
        <w:spacing w:after="0" w:line="186"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The market price of our Class A ordinary shares has experienced significant price and volume volatility and may continue to fluctuate in the future, substantially as a result of many factors, including:</w:t>
      </w:r>
    </w:p>
    <w:p>
      <w:pPr>
        <w:spacing w:after="0" w:line="150"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revenues, our results of operations, and our financial condition;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securities analysts;</w:t>
      </w:r>
    </w:p>
    <w:p>
      <w:pPr>
        <w:spacing w:after="0" w:line="164" w:lineRule="exact"/>
        <w:rPr>
          <w:rFonts w:ascii="Arial" w:cs="Arial" w:eastAsia="Arial" w:hAnsi="Arial"/>
          <w:sz w:val="18"/>
          <w:szCs w:val="18"/>
          <w:color w:val="auto"/>
        </w:rPr>
      </w:pPr>
    </w:p>
    <w:p>
      <w:pPr>
        <w:ind w:left="640" w:right="86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direct or indirect competitors of significant business developments, changes in service provider relationships, acquisitions, or expansion plans;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merchants, consumers, employees, partners, and operating results;</w:t>
      </w:r>
    </w:p>
    <w:p>
      <w:pPr>
        <w:spacing w:after="0" w:line="164" w:lineRule="exact"/>
        <w:rPr>
          <w:rFonts w:ascii="Arial" w:cs="Arial" w:eastAsia="Arial" w:hAnsi="Arial"/>
          <w:sz w:val="18"/>
          <w:szCs w:val="18"/>
          <w:color w:val="auto"/>
        </w:rPr>
      </w:pPr>
    </w:p>
    <w:p>
      <w:pPr>
        <w:ind w:left="640" w:right="44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of laws or regulations affecting our business, including PSD2;</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model;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merchant-churn, including churn of significant merchants;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involvement in litigation or regulatory actions;</w:t>
      </w:r>
    </w:p>
    <w:p>
      <w:pPr>
        <w:spacing w:after="0" w:line="164"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Class A ordinary shares by us or our shareholders, including any sales of Class B ordinary shares, which will automatically convert into Class A ordinary shares upon transfer thereof;</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volume of our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42" w:name="page43"/>
    <w:bookmarkEnd w:id="42"/>
    <w:p>
      <w:pPr>
        <w:ind w:left="640" w:right="240" w:hanging="316"/>
        <w:spacing w:after="0" w:line="25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competition, or our industry, or positive or negative recommendations or withdrawal of research coverage by securities analysts;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64" w:lineRule="exact"/>
        <w:rPr>
          <w:sz w:val="20"/>
          <w:szCs w:val="20"/>
          <w:color w:val="auto"/>
        </w:rPr>
      </w:pPr>
    </w:p>
    <w:p>
      <w:pPr>
        <w:jc w:val="both"/>
        <w:ind w:right="140" w:firstLine="318"/>
        <w:spacing w:after="0" w:line="247"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Class A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ordinary shares may adversely affect the trading market for our Class A ordinary shares.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ordinary shares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Class A ordinary shares. These policies are still relatively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ordinary shares less attractive to investors and, as a result, the market price of our Class A ordinary shares could be adversely affected.</w:t>
      </w:r>
    </w:p>
    <w:p>
      <w:pPr>
        <w:spacing w:after="0" w:line="135" w:lineRule="exact"/>
        <w:rPr>
          <w:sz w:val="20"/>
          <w:szCs w:val="20"/>
          <w:color w:val="auto"/>
        </w:rPr>
      </w:pPr>
    </w:p>
    <w:p>
      <w:pPr>
        <w:ind w:right="60" w:firstLine="318"/>
        <w:spacing w:after="0" w:line="307" w:lineRule="auto"/>
        <w:rPr>
          <w:sz w:val="20"/>
          <w:szCs w:val="20"/>
          <w:color w:val="auto"/>
        </w:rPr>
      </w:pPr>
      <w:r>
        <w:rPr>
          <w:rFonts w:ascii="Arial" w:cs="Arial" w:eastAsia="Arial" w:hAnsi="Arial"/>
          <w:sz w:val="17"/>
          <w:szCs w:val="17"/>
          <w:b w:val="1"/>
          <w:bCs w:val="1"/>
          <w:i w:val="1"/>
          <w:iCs w:val="1"/>
          <w:color w:val="auto"/>
        </w:rPr>
        <w:t>The dual class structure of our ordinary shares has the effect of concentrating voting power with our management and other pre-IPO shareholders, which will limit your ability to influence the outcome of important transactions, including a change in control.</w:t>
      </w:r>
    </w:p>
    <w:p>
      <w:pPr>
        <w:spacing w:after="0" w:line="105"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Our Class B ordinary shares have ten votes per share, and our Class A ordinary shares have one vote per share. As of December 31, 2021, members of our management collectively held approximately 20% of the voting power of our outstanding ordinary shares, and our pre-IPO shareholders collectively held approximately 97% of the voting power of our outstanding ordinary shares.</w:t>
      </w:r>
    </w:p>
    <w:p>
      <w:pPr>
        <w:spacing w:after="0" w:line="153"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Accordingly, although there are no voting agreements among our pre-IPO shareholders, our management and pre-IPO shareholders, including our co-founders, hold together all of our issued and outstanding Class B ordinary shares and therefore, individually or together, will able to significantly influence matters submitted to our shareholders for approval, including the election of directors, amendments of our organizational documents and any merger or other major corporate transactions that require shareholder approval. Our management and pre-IPO shareholders, including our co-founders, individually or together, may vote in a way with which you disagree and which may be adverse to your interests. This concentrated voting power may have the effect of delaying, preventing or deterring a change in control of our Company, could deprive our shareholders of an opportunity to receive a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43" w:name="page44"/>
    <w:bookmarkEnd w:id="43"/>
    <w:p>
      <w:pPr>
        <w:ind w:right="80"/>
        <w:spacing w:after="0" w:line="263" w:lineRule="auto"/>
        <w:rPr>
          <w:sz w:val="20"/>
          <w:szCs w:val="20"/>
          <w:color w:val="auto"/>
        </w:rPr>
      </w:pPr>
      <w:r>
        <w:rPr>
          <w:rFonts w:ascii="Arial" w:cs="Arial" w:eastAsia="Arial" w:hAnsi="Arial"/>
          <w:sz w:val="17"/>
          <w:szCs w:val="17"/>
          <w:color w:val="auto"/>
        </w:rPr>
        <w:t>for their shares as part of a sale of our company and might ultimately materially and adversely affect the market price of our Class A ordinary shares. Future transfers by the holders of Class B ordinary shares will result in those shares converting into Class A ordinary shares, subject to limited exceptions. As long as at least 14,939,360 Class B ordinary shares remain outstanding, and without giving effect to any future issuances, the holders of our Class B ordinary shares will hold a majority of the outstanding voting power and will continue to control the outcome of matters submitted to shareholders approval. While our amended and restated articles of association generally prohibit us from issuing additional Class B ordinary shares (other than with the affirmative vote of the holders of at least seventy-five percent (75%) of our outstanding Class B ordinary shares), any future issuance of Class B ordinary shares may be dilutive to Class A ordinary shareholders.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about our dual class structure, see Exhibit 2.2 to this Annual Report, which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ordinary shares may not be sustained to provide adequate liquidity.</w:t>
      </w:r>
    </w:p>
    <w:p>
      <w:pPr>
        <w:spacing w:after="0" w:line="186" w:lineRule="exact"/>
        <w:rPr>
          <w:sz w:val="20"/>
          <w:szCs w:val="20"/>
          <w:color w:val="auto"/>
        </w:rPr>
      </w:pPr>
    </w:p>
    <w:p>
      <w:pPr>
        <w:jc w:val="both"/>
        <w:ind w:right="180" w:firstLine="318"/>
        <w:spacing w:after="0" w:line="270" w:lineRule="auto"/>
        <w:rPr>
          <w:sz w:val="20"/>
          <w:szCs w:val="20"/>
          <w:color w:val="auto"/>
        </w:rPr>
      </w:pPr>
      <w:r>
        <w:rPr>
          <w:rFonts w:ascii="Arial" w:cs="Arial" w:eastAsia="Arial" w:hAnsi="Arial"/>
          <w:sz w:val="17"/>
          <w:szCs w:val="17"/>
          <w:color w:val="auto"/>
        </w:rPr>
        <w:t>An active trading market may not be sustained for our Class A ordinary shares. The lack of an active market may impair your ability to sell your shares at the time you wish to sell them or at a price that you consider reasonable. An inactive market may also impair our ability to raise capital by selling Class A ordinary shares and may impair our ability to acquire other companies by using our shares as consideration.</w:t>
      </w:r>
    </w:p>
    <w:p>
      <w:pPr>
        <w:spacing w:after="0" w:line="113"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b w:val="1"/>
          <w:bCs w:val="1"/>
          <w:i w:val="1"/>
          <w:iCs w:val="1"/>
          <w:color w:val="auto"/>
        </w:rPr>
        <w:t>If we do not meet the expectations of securities analysts, if they do not publish research or reports about our business, or if they issue unfavorable commentary or downgrade our Class A ordinary shares, the price of our Class A ordinary shares could decline.</w:t>
      </w:r>
    </w:p>
    <w:p>
      <w:pPr>
        <w:spacing w:after="0" w:line="10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trading market for our Class A ordinary shares relies in part on the research and reports that securities analysts publish about us and our business. The analysts’ estimates are based upon their own opinions and are often different from our estimates or expectations. If our revenues, our results of operations, or our financial condition are below the estimates or expectations of public market analysts and investors, the price of our Class A ordinary shares could decline. Moreover, the price of our Class A ordinary shares could decline if one or more securities analysts downgrade our Class A ordinary shares or if those analysts issue other unfavorable commentary or cease publishing reports about us or our business.</w:t>
      </w:r>
    </w:p>
    <w:p>
      <w:pPr>
        <w:spacing w:after="0" w:line="136" w:lineRule="exact"/>
        <w:rPr>
          <w:sz w:val="20"/>
          <w:szCs w:val="20"/>
          <w:color w:val="auto"/>
        </w:rPr>
      </w:pPr>
    </w:p>
    <w:p>
      <w:pPr>
        <w:jc w:val="both"/>
        <w:ind w:right="740"/>
        <w:spacing w:after="0" w:line="261" w:lineRule="auto"/>
        <w:rPr>
          <w:sz w:val="20"/>
          <w:szCs w:val="20"/>
          <w:color w:val="auto"/>
        </w:rPr>
      </w:pPr>
      <w:r>
        <w:rPr>
          <w:rFonts w:ascii="Arial" w:cs="Arial" w:eastAsia="Arial" w:hAnsi="Arial"/>
          <w:sz w:val="18"/>
          <w:szCs w:val="18"/>
          <w:b w:val="1"/>
          <w:bCs w:val="1"/>
          <w:i w:val="1"/>
          <w:iCs w:val="1"/>
          <w:color w:val="auto"/>
        </w:rPr>
        <w:t>We qualify as an “emerging growth company” and we cannot be certain if the reduced disclosure requirements applicable to emerging growth companies will make our Class A ordinary shares less attractive to investors because we may rely on these reduced disclosure requirements.</w:t>
      </w:r>
    </w:p>
    <w:p>
      <w:pPr>
        <w:spacing w:after="0" w:line="142" w:lineRule="exact"/>
        <w:rPr>
          <w:sz w:val="20"/>
          <w:szCs w:val="20"/>
          <w:color w:val="auto"/>
        </w:rPr>
      </w:pPr>
    </w:p>
    <w:p>
      <w:pPr>
        <w:ind w:right="80" w:firstLine="318"/>
        <w:spacing w:after="0" w:line="260" w:lineRule="auto"/>
        <w:rPr>
          <w:sz w:val="20"/>
          <w:szCs w:val="20"/>
          <w:color w:val="auto"/>
        </w:rPr>
      </w:pPr>
      <w:r>
        <w:rPr>
          <w:rFonts w:ascii="Arial" w:cs="Arial" w:eastAsia="Arial" w:hAnsi="Arial"/>
          <w:sz w:val="17"/>
          <w:szCs w:val="17"/>
          <w:color w:val="auto"/>
        </w:rPr>
        <w:t>We qualify as an “emerging growth company,” as defined in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 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Sarbanes-Oxley Act. As a result, our shareholders may not have access to certain information that they may deem important. We will remain an “emerging growth company” until the earliest of:</w:t>
      </w:r>
    </w:p>
    <w:p>
      <w:pPr>
        <w:spacing w:after="0" w:line="2" w:lineRule="exact"/>
        <w:rPr>
          <w:sz w:val="20"/>
          <w:szCs w:val="20"/>
          <w:color w:val="auto"/>
        </w:rPr>
      </w:pPr>
    </w:p>
    <w:p>
      <w:pPr>
        <w:jc w:val="both"/>
        <w:ind w:right="160" w:firstLine="6"/>
        <w:spacing w:after="0" w:line="247"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December 31, 2026; (2) the last day of the first fiscal year in which our annual gross revenue is $1.07 billion or more; (3) the date on which we have, during the previous rolling three-year period, issue more than $1 billion in non-convertible debt securities; and (4) the date we qualify as a “large accelerated filer.” We cannot predict if investors will find our Class A ordinary shares less attractive because we may rely on these exemptions. If some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4" w:name="page45"/>
    <w:bookmarkEnd w:id="44"/>
    <w:p>
      <w:pPr>
        <w:ind w:right="280"/>
        <w:spacing w:after="0" w:line="251" w:lineRule="auto"/>
        <w:rPr>
          <w:sz w:val="20"/>
          <w:szCs w:val="20"/>
          <w:color w:val="auto"/>
        </w:rPr>
      </w:pPr>
      <w:r>
        <w:rPr>
          <w:rFonts w:ascii="Arial" w:cs="Arial" w:eastAsia="Arial" w:hAnsi="Arial"/>
          <w:sz w:val="18"/>
          <w:szCs w:val="18"/>
          <w:color w:val="auto"/>
        </w:rPr>
        <w:t>find our Class A ordinary shares less attractive as a result, there may be a less active trading market for our Class A ordinary shares and our share price may be more volatile.</w:t>
      </w:r>
    </w:p>
    <w:p>
      <w:pPr>
        <w:spacing w:after="0" w:line="128" w:lineRule="exact"/>
        <w:rPr>
          <w:sz w:val="20"/>
          <w:szCs w:val="20"/>
          <w:color w:val="auto"/>
        </w:rPr>
      </w:pPr>
    </w:p>
    <w:p>
      <w:pPr>
        <w:jc w:val="both"/>
        <w:ind w:right="820"/>
        <w:spacing w:after="0" w:line="307" w:lineRule="auto"/>
        <w:rPr>
          <w:sz w:val="20"/>
          <w:szCs w:val="20"/>
          <w:color w:val="auto"/>
        </w:rPr>
      </w:pPr>
      <w:r>
        <w:rPr>
          <w:rFonts w:ascii="Arial" w:cs="Arial" w:eastAsia="Arial" w:hAnsi="Arial"/>
          <w:sz w:val="17"/>
          <w:szCs w:val="17"/>
          <w:b w:val="1"/>
          <w:bCs w:val="1"/>
          <w:i w:val="1"/>
          <w:iCs w:val="1"/>
          <w:color w:val="auto"/>
        </w:rPr>
        <w:t>We are a “foreign private issuer,” and, as a result, we are not subject to U.S. proxy rules and will be subject to Exchange Act reporting obligations that, to some extent, are more lenient and less frequent than those of a U.S. domestic public company.</w:t>
      </w:r>
    </w:p>
    <w:p>
      <w:pPr>
        <w:spacing w:after="0" w:line="105" w:lineRule="exact"/>
        <w:rPr>
          <w:sz w:val="20"/>
          <w:szCs w:val="20"/>
          <w:color w:val="auto"/>
        </w:rPr>
      </w:pPr>
    </w:p>
    <w:p>
      <w:pPr>
        <w:ind w:right="40" w:firstLine="318"/>
        <w:spacing w:after="0" w:line="261" w:lineRule="auto"/>
        <w:rPr>
          <w:sz w:val="20"/>
          <w:szCs w:val="20"/>
          <w:color w:val="auto"/>
        </w:rPr>
      </w:pPr>
      <w:r>
        <w:rPr>
          <w:rFonts w:ascii="Arial" w:cs="Arial" w:eastAsia="Arial" w:hAnsi="Arial"/>
          <w:sz w:val="17"/>
          <w:szCs w:val="17"/>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(iii) the rules under the Exchange Act requiring the filing with the SEC of current reports on Form 8-K upon the occurrence of specified significant events, although we are subject to Israeli laws and regulations with regards to certain of these matters, and (iv) the rules under the Exchange Act requiring the filing with the SEC of quarterly reports on Form 10-Q containing unaudited financial and other specified information, although we are subject to Israeli laws and regulations with regard to certain of these matters and intend to announce quarterly unaudited results in earnings press releases.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prohibits selective disclosures of material information. As a result of all of the above, you may not have the same protections afforded to shareholders of a company that is not a “foreign private issuer.”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more than 10% shareholders will become subject to the short-swing profit disclosure and recovery provisions of Section 16 of the Exchange Act. In addition, we will lose our ability to rely upon exemptions from certain corporate governance rules of the NYSE. As a U.S. listed public company that is not a “foreign private issuer,” we will incur significant additional legal, accounting, and other expenses that we will not incur as a “foreign private issuer.”</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rules of the New York Stock Exchange.</w:t>
      </w:r>
    </w:p>
    <w:p>
      <w:pPr>
        <w:spacing w:after="0" w:line="142" w:lineRule="exact"/>
        <w:rPr>
          <w:sz w:val="20"/>
          <w:szCs w:val="20"/>
          <w:color w:val="auto"/>
        </w:rPr>
      </w:pPr>
    </w:p>
    <w:p>
      <w:pPr>
        <w:ind w:right="60" w:firstLine="318"/>
        <w:spacing w:after="0" w:line="270" w:lineRule="auto"/>
        <w:rPr>
          <w:sz w:val="20"/>
          <w:szCs w:val="20"/>
          <w:color w:val="auto"/>
        </w:rPr>
      </w:pPr>
      <w:r>
        <w:rPr>
          <w:rFonts w:ascii="Arial" w:cs="Arial" w:eastAsia="Arial" w:hAnsi="Arial"/>
          <w:sz w:val="17"/>
          <w:szCs w:val="17"/>
          <w:color w:val="auto"/>
        </w:rPr>
        <w:t>As a “foreign private issuer,” we have the option to follow certain home country corporate governance practices rather than those of the NYSE, provided that we disclose the requirements we are not following and describe the home country practices we are following. We intend to rely on this “foreign private issuer exemption” with respect to NYSE rules for shareholder meeting quorums and NYSE rules requiring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5" w:name="page46"/>
    <w:bookmarkEnd w:id="45"/>
    <w:p>
      <w:pPr>
        <w:ind w:right="20"/>
        <w:spacing w:after="0" w:line="259" w:lineRule="auto"/>
        <w:rPr>
          <w:sz w:val="20"/>
          <w:szCs w:val="20"/>
          <w:color w:val="auto"/>
        </w:rPr>
      </w:pPr>
      <w:r>
        <w:rPr>
          <w:rFonts w:ascii="Arial" w:cs="Arial" w:eastAsia="Arial" w:hAnsi="Arial"/>
          <w:sz w:val="18"/>
          <w:szCs w:val="18"/>
          <w:color w:val="auto"/>
        </w:rPr>
        <w:t>shareholder approval. See “</w:t>
      </w:r>
      <w:r>
        <w:rPr>
          <w:rFonts w:ascii="Arial" w:cs="Arial" w:eastAsia="Arial" w:hAnsi="Arial"/>
          <w:sz w:val="18"/>
          <w:szCs w:val="18"/>
          <w:i w:val="1"/>
          <w:iCs w:val="1"/>
          <w:color w:val="auto"/>
        </w:rPr>
        <w:t>Management ― Corporate Governance Practices</w:t>
      </w:r>
      <w:r>
        <w:rPr>
          <w:rFonts w:ascii="Arial" w:cs="Arial" w:eastAsia="Arial" w:hAnsi="Arial"/>
          <w:sz w:val="18"/>
          <w:szCs w:val="18"/>
          <w:color w:val="auto"/>
        </w:rPr>
        <w:t>.” We may in the future elect to follow home country practices with regard to other matters. As a result, our shareholders may not have the same protections afforded to shareholders of companies that are subject to all corporate governance rules of the NYSE.</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The market price of our Class A ordinary shares could be negatively affected by future issuances and sales of our Class A ordinary shares.</w:t>
      </w:r>
    </w:p>
    <w:p>
      <w:pPr>
        <w:spacing w:after="0" w:line="12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of December 31, 2021, there were 75,909,531 Class A ordinary shares and 88,055,520 Class B ordinary shares outstanding. Sales by us or our shareholders of a substantial number of Class A ordinary shares, including Class B ordinary shares, which will automatically convert into Class A ordinary shares upon transfer, in the public market, or the perception that these sales might occur, could cause the market price of our Class A ordinary shares to decline or could impair our ability to raise capital through a future sale of, or pay for acquisitions using, our equity securities. Of our issued and outstanding shares, all the Class A ordinary shares, including Class B ordinary shares, which will automatically convert into Class A ordinary shares upon transfer, are freely transferable, except for any shares held by our “affiliates,” as that term is defined in Rule 144 under the Securities Act.</w:t>
      </w:r>
    </w:p>
    <w:p>
      <w:pPr>
        <w:spacing w:after="0" w:line="158" w:lineRule="exact"/>
        <w:rPr>
          <w:sz w:val="20"/>
          <w:szCs w:val="20"/>
          <w:color w:val="auto"/>
        </w:rPr>
      </w:pPr>
    </w:p>
    <w:p>
      <w:pPr>
        <w:jc w:val="both"/>
        <w:ind w:right="140" w:firstLine="318"/>
        <w:spacing w:after="0" w:line="248" w:lineRule="auto"/>
        <w:rPr>
          <w:sz w:val="20"/>
          <w:szCs w:val="20"/>
          <w:color w:val="auto"/>
        </w:rPr>
      </w:pPr>
      <w:r>
        <w:rPr>
          <w:rFonts w:ascii="Arial" w:cs="Arial" w:eastAsia="Arial" w:hAnsi="Arial"/>
          <w:sz w:val="18"/>
          <w:szCs w:val="18"/>
          <w:color w:val="auto"/>
        </w:rPr>
        <w:t>As of December 31, 2021, we had 13,474,214 ordinary shares available for future grants under our equity incentive plans and 27,263,843 ordinary shares that were subject to share options and restricted share units. Of this amount, 10,181,218 options were vested and exercisable as of December 31, 2021.</w:t>
      </w:r>
    </w:p>
    <w:p>
      <w:pPr>
        <w:spacing w:after="0" w:line="153"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On August 4, 2021, we filed a registration statement on Form S-8 under the Securities Act to register ordinary shares reserved for issuance under our share incentive plans. The registration statement became effective automatically upon filing, and the Class A ordinary shares and Class B ordinary shares covered by such registration statement are eligible for resale in public markets, subject to vesting restrictions and Rule 144 limitations applicable to affiliates.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unable to predict the effect that such issuances and sales may have on the prevailing market price of our Class A ordinary shares.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29"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Provisions of Israeli law and our amended and restated articles of association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our Class A ordinary shares. Among other things:</w:t>
      </w:r>
    </w:p>
    <w:p>
      <w:pPr>
        <w:spacing w:after="0" w:line="155" w:lineRule="exact"/>
        <w:rPr>
          <w:sz w:val="20"/>
          <w:szCs w:val="20"/>
          <w:color w:val="auto"/>
        </w:rPr>
      </w:pPr>
    </w:p>
    <w:p>
      <w:pPr>
        <w:ind w:left="640" w:right="40" w:hanging="316"/>
        <w:spacing w:after="0" w:line="24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Israeli Companies Law, 5759-1999 (the “Companies Law”) regulates mergers and requires that a tender offer be effected when one or more shareholders propose to purchase shares that would result in it or them owning more than a specified percentage of shares in a company;</w:t>
      </w:r>
    </w:p>
    <w:p>
      <w:pPr>
        <w:spacing w:after="0" w:line="153" w:lineRule="exact"/>
        <w:rPr>
          <w:rFonts w:ascii="Arial" w:cs="Arial" w:eastAsia="Arial" w:hAnsi="Arial"/>
          <w:sz w:val="18"/>
          <w:szCs w:val="18"/>
          <w:color w:val="auto"/>
        </w:rPr>
      </w:pPr>
    </w:p>
    <w:p>
      <w:pPr>
        <w:ind w:left="640" w:right="40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Law requires special approvals for certain transactions involving directors, officers, or significant shareholders, and regulates other matters that may be relevant to these types of transactions;</w:t>
      </w:r>
    </w:p>
    <w:p>
      <w:pPr>
        <w:spacing w:after="0" w:line="150" w:lineRule="exact"/>
        <w:rPr>
          <w:rFonts w:ascii="Arial" w:cs="Arial" w:eastAsia="Arial" w:hAnsi="Arial"/>
          <w:sz w:val="18"/>
          <w:szCs w:val="18"/>
          <w:color w:val="auto"/>
        </w:rPr>
      </w:pPr>
    </w:p>
    <w:p>
      <w:pPr>
        <w:ind w:left="640" w:right="1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Law does not provide for shareholder action by written consent for public companies, thereby requiring all shareholder actions to be taken at a general meeting of shareholders;</w:t>
      </w:r>
    </w:p>
    <w:p>
      <w:pPr>
        <w:spacing w:after="0" w:line="150" w:lineRule="exact"/>
        <w:rPr>
          <w:rFonts w:ascii="Arial" w:cs="Arial" w:eastAsia="Arial" w:hAnsi="Arial"/>
          <w:sz w:val="18"/>
          <w:szCs w:val="18"/>
          <w:color w:val="auto"/>
        </w:rPr>
      </w:pPr>
    </w:p>
    <w:p>
      <w:pPr>
        <w:ind w:left="640" w:right="48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amended and restated articles of association divide our directors into three classes, each of which is elected once every three years;</w:t>
      </w:r>
    </w:p>
    <w:p>
      <w:pPr>
        <w:spacing w:after="0" w:line="150" w:lineRule="exact"/>
        <w:rPr>
          <w:rFonts w:ascii="Arial" w:cs="Arial" w:eastAsia="Arial" w:hAnsi="Arial"/>
          <w:sz w:val="18"/>
          <w:szCs w:val="18"/>
          <w:color w:val="auto"/>
        </w:rPr>
      </w:pPr>
    </w:p>
    <w:p>
      <w:pPr>
        <w:ind w:left="640" w:right="58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amendment to our amended and restated articles of association generally requires, in addition to the approval of our board of directors, a vote of the holders of a majority of our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46" w:name="page47"/>
    <w:bookmarkEnd w:id="46"/>
    <w:p>
      <w:pPr>
        <w:ind w:left="640" w:right="40"/>
        <w:spacing w:after="0" w:line="246" w:lineRule="auto"/>
        <w:rPr>
          <w:sz w:val="20"/>
          <w:szCs w:val="20"/>
          <w:color w:val="auto"/>
        </w:rPr>
      </w:pPr>
      <w:r>
        <w:rPr>
          <w:rFonts w:ascii="Arial" w:cs="Arial" w:eastAsia="Arial" w:hAnsi="Arial"/>
          <w:sz w:val="18"/>
          <w:szCs w:val="18"/>
          <w:color w:val="auto"/>
        </w:rPr>
        <w:t>ordinary shares entitled to vote present and voting on the matter at a general meeting of shareholders (referred to as simple majority), and the amendment of a limited number of provisions, such as the provision empowering our board of directors to determine the size of the board, the provision dividing our directors into three classes, the provision that sets forth the procedures and the requirements that must be met in order for a shareholder to require the Company to include a matter on the agenda for a general meeting of the shareholders, the provisions relating to the election and removal of members of our board of directors and empowering our board of directors to fill vacancies on the board, requires, in addition to the approval of our board of directors, a vote of the holders of 65% of our outstanding ordinary shares entitled to vote at a general meeting;</w:t>
      </w:r>
    </w:p>
    <w:p>
      <w:pPr>
        <w:spacing w:after="0" w:line="158" w:lineRule="exact"/>
        <w:rPr>
          <w:sz w:val="20"/>
          <w:szCs w:val="20"/>
          <w:color w:val="auto"/>
        </w:rPr>
      </w:pPr>
    </w:p>
    <w:p>
      <w:pPr>
        <w:ind w:left="64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articles of association do not permit a director to be removed, except by a vote of the holders of at least 65% of our outstanding shares entitled to vote at a general meeting of shareholders;</w:t>
      </w:r>
    </w:p>
    <w:p>
      <w:pPr>
        <w:spacing w:after="0" w:line="150" w:lineRule="exact"/>
        <w:rPr>
          <w:rFonts w:ascii="Arial" w:cs="Arial" w:eastAsia="Arial" w:hAnsi="Arial"/>
          <w:sz w:val="18"/>
          <w:szCs w:val="18"/>
          <w:color w:val="auto"/>
        </w:rPr>
      </w:pPr>
    </w:p>
    <w:p>
      <w:pPr>
        <w:ind w:left="640" w:right="60" w:hanging="316"/>
        <w:spacing w:after="0" w:line="24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dual class ordinary share structure, which provides our existing shareholders, individually or together, with the ability to significantly influence the outcome of matters requiring shareholder approval, even if they own significantly less than a majority of our outstanding Class A ordinary shares and Class B ordinary shares; and</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amended and restated articles of association provide that director vacancies may be filled by our board of directors.</w:t>
      </w:r>
    </w:p>
    <w:p>
      <w:pPr>
        <w:spacing w:after="0" w:line="164"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186"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We have never declared nor paid any dividends on our ordinary shares. We do not anticipate paying any dividends in the foreseeable future. We currently intend to retain future earnings, if any, to finance operations and expand our business. Consequently, investors who purchase Class A ordinary shares may be unable to realize a gain on their investment, except by selling such shares after price appreciation, which may never occur.</w:t>
      </w:r>
    </w:p>
    <w:p>
      <w:pPr>
        <w:spacing w:after="0" w:line="15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spacing w:after="0" w:line="137" w:lineRule="exact"/>
        <w:rPr>
          <w:sz w:val="20"/>
          <w:szCs w:val="20"/>
          <w:color w:val="auto"/>
        </w:rPr>
      </w:pPr>
    </w:p>
    <w:p>
      <w:pPr>
        <w:ind w:right="120" w:firstLine="318"/>
        <w:spacing w:after="0" w:line="272" w:lineRule="auto"/>
        <w:rPr>
          <w:sz w:val="20"/>
          <w:szCs w:val="20"/>
          <w:color w:val="auto"/>
        </w:rPr>
      </w:pPr>
      <w:r>
        <w:rPr>
          <w:rFonts w:ascii="Arial" w:cs="Arial" w:eastAsia="Arial" w:hAnsi="Arial"/>
          <w:sz w:val="18"/>
          <w:szCs w:val="18"/>
          <w:color w:val="auto"/>
        </w:rPr>
        <w:t>Payment of dividends may also be subject to Israeli withholding taxes. See Item 10.E.“</w:t>
      </w:r>
      <w:r>
        <w:rPr>
          <w:rFonts w:ascii="Arial" w:cs="Arial" w:eastAsia="Arial" w:hAnsi="Arial"/>
          <w:sz w:val="18"/>
          <w:szCs w:val="18"/>
          <w:i w:val="1"/>
          <w:iCs w:val="1"/>
          <w:color w:val="auto"/>
        </w:rPr>
        <w:t>Taxation —Israeli Tax Considerations</w:t>
      </w:r>
      <w:r>
        <w:rPr>
          <w:rFonts w:ascii="Arial" w:cs="Arial" w:eastAsia="Arial" w:hAnsi="Arial"/>
          <w:sz w:val="18"/>
          <w:szCs w:val="18"/>
          <w:color w:val="auto"/>
        </w:rPr>
        <w:t>” for additional information.</w:t>
      </w:r>
    </w:p>
    <w:p>
      <w:pPr>
        <w:spacing w:after="0" w:line="110"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29"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47" w:name="page48"/>
    <w:bookmarkEnd w:id="47"/>
    <w:p>
      <w:pPr>
        <w:ind w:right="40"/>
        <w:spacing w:after="0" w:line="246" w:lineRule="auto"/>
        <w:rPr>
          <w:sz w:val="20"/>
          <w:szCs w:val="20"/>
          <w:color w:val="auto"/>
        </w:rPr>
      </w:pPr>
      <w:r>
        <w:rPr>
          <w:rFonts w:ascii="Arial" w:cs="Arial" w:eastAsia="Arial" w:hAnsi="Arial"/>
          <w:sz w:val="18"/>
          <w:szCs w:val="18"/>
          <w:color w:val="auto"/>
        </w:rPr>
        <w:t>Sarbanes-Oxley Act, the Dodd-Frank Wall Street Reform, and Consumer Protection Act, the listing requirements of the NYSE and other applicable securities rules and regulations impose various requirements on public companies, including the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158"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Our amended and restated articles of association provide that, unless we consent to an alternative forum, the federal district courts of the United States shall be the exclusive forum for resolution of any complaint asserting a cause of action arising under the Securities Act, and the competent courts of Tel Aviv, Israel, shall be the exclusive forum for resolution of substantially all disputes between the Company and its shareholders under the Companies Law and the Israeli Securities Law, which could limit our shareholders’ ability to choose the judicial forum for disputes with us, our directors, shareholders, or other employees.</w:t>
      </w:r>
    </w:p>
    <w:p>
      <w:pPr>
        <w:spacing w:after="0" w:line="15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Section 22 of the Securities Act creates concurrent jurisdiction for U.S. federal and state courts over all such Securities Act actions. Accordingly, both U.S. state and federal courts have jurisdiction to entertain such claims. To prevent having to litigate claims in multiple jurisdictions and the threat of inconsistent or contrary rulings by different courts, among other considerations, our amended and restated articles of association provide that, unless we consent in writing to the selection of an alternative forum, the federal district courts of the United States shall be the exclusive forum for the resolution of any complaint asserting a cause of action arising under the Securities Act. This exclusive forum provision will not apply to suits brought to enforce any liability or duty created by the Exchange Act, and our shareholders cannot and will not be deemed to have waived our compliance with the U.S. federal securities laws and the rules and regulations thereunder as a result of our exclusive forum provision.</w:t>
      </w:r>
    </w:p>
    <w:p>
      <w:pPr>
        <w:spacing w:after="0" w:line="158"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Our amended and restated articles of association further provide that, unless we consent in writing to the selection of an alternative forum, the competent courts of Tel Aviv, Israel, is the exclusive forum for the resolution of (i) any derivative action or proceeding brought on behalf of the Company, (ii) 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1968, or the Israeli Securities Law. Such exclusive forum provision is intended to apply to claims arising under Israeli law and does not apply to claims for which the federal courts would have exclusive jurisdiction, whether by law or pursuant to our amended and restated articles of association, as described above.</w:t>
      </w:r>
    </w:p>
    <w:p>
      <w:pPr>
        <w:spacing w:after="0" w:line="15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 foregoing provisions of our amended and restated articles of association.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exclusive forum provisions contained in our amended and restated articles of association to be inapplicable or unenforceable in an action,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8" w:name="page49"/>
    <w:bookmarkEnd w:id="48"/>
    <w:p>
      <w:pPr>
        <w:ind w:right="80"/>
        <w:spacing w:after="0" w:line="251" w:lineRule="auto"/>
        <w:rPr>
          <w:sz w:val="20"/>
          <w:szCs w:val="20"/>
          <w:color w:val="auto"/>
        </w:rPr>
      </w:pPr>
      <w:r>
        <w:rPr>
          <w:rFonts w:ascii="Arial" w:cs="Arial" w:eastAsia="Arial" w:hAnsi="Arial"/>
          <w:sz w:val="18"/>
          <w:szCs w:val="18"/>
          <w:color w:val="auto"/>
        </w:rPr>
        <w:t>incur additional costs associated with resolving such action in other jurisdictions, which could materially adversely affect our business, financial condition, and results of operations.</w:t>
      </w:r>
    </w:p>
    <w:p>
      <w:pPr>
        <w:spacing w:after="0" w:line="150"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U.S. federal securities laws or the Companies Law, as applicable, in the types of lawsuits to which they apply, such exclusive forum provisions may limit a shareholder’s ability to bring a claim in the judicial forum of their choosing for disputes with us or any of our directors, shareholders, officers, or other employees, which may discourage lawsuits with respect to such claims against us and our current and former directors, shareholders, officers, or other employees.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not be classified as a passive foreign investment company, which could result in adverse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 to United States Holders of our Class A ordinary shares.</w:t>
      </w:r>
    </w:p>
    <w:p>
      <w:pPr>
        <w:spacing w:after="0" w:line="164"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We would be classified as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believe we were not a PFIC for the year ending December 31, 2021 and do not expect to be a PFIC for U.S. federal income tax purposes for the current taxable year or in the foreseeable future. However, this is a factual determination that must be made annually after the close of each taxable year. Moreover, the aggregate value of our assets for purposes of the PFIC determination may be determined by reference to the trading value of our Class A ordinary shares, which could fluctuate significantly. We have a substantial balance of cash and other liquid investments, which are passive assets for purposes of the PFIC determination. Accordingly, if our market capitalization declines significantly, it may make our classification as a PFIC more likely for the current or future taxable years. In addition, it is possible that the Internal Revenue Service may take a contrary position with respect to our determination in any particular year, and, therefore, there can be no assurance that we were not a PFIC for the year ending December 31, 2021 or will not be classified as a PFIC in the current taxable year or in the future. Certain adverse U.S. federal income tax consequences could apply to a United States Holder (as defined in Item 10.E. “</w:t>
      </w:r>
      <w:r>
        <w:rPr>
          <w:rFonts w:ascii="Arial" w:cs="Arial" w:eastAsia="Arial" w:hAnsi="Arial"/>
          <w:sz w:val="17"/>
          <w:szCs w:val="17"/>
          <w:i w:val="1"/>
          <w:iCs w:val="1"/>
          <w:color w:val="auto"/>
        </w:rPr>
        <w:t>Taxation—U.S. Federal Income Tax Considerations</w:t>
      </w:r>
      <w:r>
        <w:rPr>
          <w:rFonts w:ascii="Arial" w:cs="Arial" w:eastAsia="Arial" w:hAnsi="Arial"/>
          <w:sz w:val="17"/>
          <w:szCs w:val="17"/>
          <w:color w:val="auto"/>
        </w:rPr>
        <w:t>”) if we are treated as a PFIC for any taxable year during which such United States Holder holds our Class A ordinary shares. United States Holders should consult their tax advisors about the potential application of the PFIC rules to their investment in our Class A ordinary shares. For further discussion, see Item 10.E. “</w:t>
      </w:r>
      <w:r>
        <w:rPr>
          <w:rFonts w:ascii="Arial" w:cs="Arial" w:eastAsia="Arial" w:hAnsi="Arial"/>
          <w:sz w:val="17"/>
          <w:szCs w:val="17"/>
          <w:i w:val="1"/>
          <w:iCs w:val="1"/>
          <w:color w:val="auto"/>
        </w:rPr>
        <w:t>Taxation—U.S. Federal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Considerations—Passive Foreign Investment Company</w:t>
      </w:r>
      <w:r>
        <w:rPr>
          <w:rFonts w:ascii="Arial" w:cs="Arial" w:eastAsia="Arial" w:hAnsi="Arial"/>
          <w:sz w:val="17"/>
          <w:szCs w:val="17"/>
          <w:color w:val="auto"/>
        </w:rPr>
        <w:t>.”</w:t>
      </w:r>
    </w:p>
    <w:p>
      <w:pPr>
        <w:spacing w:after="0" w:line="33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auto"/>
        </w:rPr>
        <w:t>If a United States person is treated as owning 10% or more of our shares, such holder may be subject to adverse U.S. federal income tax consequences.</w:t>
      </w:r>
    </w:p>
    <w:p>
      <w:pPr>
        <w:spacing w:after="0" w:line="12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shares, such person may be treated as a “United States shareholder” with respect to each controlled foreign corporation, or CFC, in our group (if any). Because our group includes a U.S. subsidiary, certain of our non-U.S. subsidiaries will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CFCs, regardless of whether we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49" w:name="page50"/>
    <w:bookmarkEnd w:id="49"/>
    <w:p>
      <w:pPr>
        <w:ind w:right="40"/>
        <w:spacing w:after="0" w:line="246" w:lineRule="auto"/>
        <w:rPr>
          <w:sz w:val="20"/>
          <w:szCs w:val="20"/>
          <w:color w:val="auto"/>
        </w:rPr>
      </w:pPr>
      <w:r>
        <w:rPr>
          <w:rFonts w:ascii="Arial" w:cs="Arial" w:eastAsia="Arial" w:hAnsi="Arial"/>
          <w:sz w:val="18"/>
          <w:szCs w:val="18"/>
          <w:color w:val="auto"/>
        </w:rPr>
        <w:t>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Class A ordinary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Israel could materially and adversely affect our revenues, our results of operations and our financial condition.</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Many of our employees, including certain members of management, operate from our offices located in Tel Aviv, Israel. In addition, a number of our officers and directors are residents of Israel. Accordingly, political, economic, and military conditions in Israel and the surrounding region may directly affect our revenues, our results of operations, and our financial condition.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and some of our consultants are located, and negatively affected business conditions in Israel. Any hostilities involving Israel or the interruption or curtailment of trade between Israel and its trading partners could adversely affect our revenues, our results of operations and our financial condition.</w:t>
      </w:r>
    </w:p>
    <w:p>
      <w:pPr>
        <w:spacing w:after="0" w:line="158"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revenues, our results of operations, and our financial condition. Any armed conflicts or political instability in the region would likely negatively affect business conditions and could adversely affect our revenues, our results of operations, and our financial condition.</w:t>
      </w:r>
    </w:p>
    <w:p>
      <w:pPr>
        <w:spacing w:after="0" w:line="158"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our financial condition, or the expansion of our business. A campaign of boycotts, divestment, and sanctions has been undertaken against Israel, which could also adversely impact our revenues, our results of operations and financial condition.</w:t>
      </w:r>
    </w:p>
    <w:p>
      <w:pPr>
        <w:spacing w:after="0" w:line="155"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management. Such disruption could materially adversely affect our revenues, our results of operations and our financial condition.</w:t>
      </w:r>
    </w:p>
    <w:p>
      <w:pPr>
        <w:spacing w:after="0" w:line="142" w:lineRule="exact"/>
        <w:rPr>
          <w:sz w:val="20"/>
          <w:szCs w:val="20"/>
          <w:color w:val="auto"/>
        </w:rPr>
      </w:pPr>
    </w:p>
    <w:p>
      <w:pPr>
        <w:ind w:right="640" w:firstLine="318"/>
        <w:spacing w:after="0" w:line="307" w:lineRule="auto"/>
        <w:rPr>
          <w:sz w:val="20"/>
          <w:szCs w:val="20"/>
          <w:color w:val="auto"/>
        </w:rPr>
      </w:pPr>
      <w:r>
        <w:rPr>
          <w:rFonts w:ascii="Arial" w:cs="Arial" w:eastAsia="Arial" w:hAnsi="Arial"/>
          <w:sz w:val="17"/>
          <w:szCs w:val="17"/>
          <w:b w:val="1"/>
          <w:bCs w:val="1"/>
          <w:i w:val="1"/>
          <w:iCs w:val="1"/>
          <w:color w:val="auto"/>
        </w:rPr>
        <w:t>Due to intense competition for highly skilled personnel in Israel, we may fail to attract, recruit, retain and develop qualified employees, which could materially and adversely impact our business, financial condition and results of operations.</w:t>
      </w:r>
    </w:p>
    <w:p>
      <w:pPr>
        <w:spacing w:after="0" w:line="105"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principal research and development activities are conducted from our office in Israel and we face significant competition for suitably skilled software engineers, data scientists and developers in this region. The Israeli high-tech industry has experienced significant economic growth, with 72 IPOs and SPAC transactions in 2021, amounting to a value of approximately $71 billion, as reported on December 15, 2021 by PwC Israel in its annual tech exits report, up significantly from 19 offerings in 2020 at a total value of $9.3 billion. This accelerated economic growth of Israeli tech companies led to a sudden surplus of job opportunities and intense competition between Israeli-based employers to attract locally qualified employees. As a result, the high-tech industry in Israel has experienced significant levels of employee attrition and is currently facing a severe shortage of skilled personnel. As of January 2022 and despite concerted efforts by Israeli companies to recruit qualified talent, there were a reported 21,000 open positions in the Israeli high-tech industry, according to a survey published by Ethoisia. Many of the companies with whom we compete for experienced personnel have greater resources than we do and we may not succeed in recruiting additional experienced or professional personnel, retaining current personnel or effectively replacing current personnel who may depart with qualified or effective successors.</w:t>
      </w:r>
    </w:p>
    <w:p>
      <w:pPr>
        <w:spacing w:after="0" w:line="157"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effort to retain and develop personnel may also result in significant additional expenses, which could adversely affect our profitability. There can be no assurance that qualified employees will continue to be employed or that we will be able to attract and retain qualified personnel in the future. Failure to retain or attract qualified personnel could have a material adverse effect on our business, financial condition and results of operations.</w:t>
      </w:r>
    </w:p>
    <w:p>
      <w:pPr>
        <w:spacing w:after="0" w:line="133"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our directors named in this Annual Report in Israel or the United States, or to assert U.S. securities laws claims in Israel or serve process on our officers and directors.</w:t>
      </w:r>
    </w:p>
    <w:p>
      <w:pPr>
        <w:spacing w:after="0" w:line="12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resident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57"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51" w:name="page52"/>
    <w:bookmarkEnd w:id="51"/>
    <w:p>
      <w:pPr>
        <w:ind w:right="60"/>
        <w:spacing w:after="0" w:line="276" w:lineRule="auto"/>
        <w:rPr>
          <w:sz w:val="20"/>
          <w:szCs w:val="20"/>
          <w:color w:val="auto"/>
        </w:rPr>
      </w:pPr>
      <w:r>
        <w:rPr>
          <w:rFonts w:ascii="Arial" w:cs="Arial" w:eastAsia="Arial" w:hAnsi="Arial"/>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29"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We are incorporated under Israeli law. The rights and responsibilities of holders of our Class A ordinary shares and Class B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and with regard to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8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We were founded in 2013. Our mission is to empower businesses to realize the full potential of eCommerce by making it safe, accessible and frictionless.</w:t>
      </w:r>
    </w:p>
    <w:p>
      <w:pPr>
        <w:spacing w:after="0" w:line="150"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In July 2021, we listed our Class A ordinary shares on the NYSE. We are a company limited by shares incorporated in Israel under the Companies Law. We are registered with the Israeli Registrar of Companies. Our registration number is 51-484411-7. Our principal executive offices are located at Europe House, Sderot Sha’ul HaMelech 37, Tel Aviv-Yafo, Israel.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Our website address is https://www.riskified.com. Information contained on, or that can be accessed through, our website does not constitute a part of this Annual Report and is not incorporated by reference herein. We have included our website address in this Annual Report solely for informational purposes. The SEC maintains an internet website that contains reports, proxy statements and other information about issuers, like us, that file electronically with the SEC. The address of that site is www.sec.gov. Our agent for service of process in the United States is Riskified, Inc., located at 220 5th Avenue, 2nd Floor, New York, New York 10001.</w:t>
      </w:r>
    </w:p>
    <w:p>
      <w:pPr>
        <w:spacing w:after="0" w:line="145"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For a description of our principal capital expenditures and divestitures for the three years ended December 31, 2021 and for those currently in progress, see Item 5. “</w:t>
      </w:r>
      <w:r>
        <w:rPr>
          <w:rFonts w:ascii="Arial" w:cs="Arial" w:eastAsia="Arial" w:hAnsi="Arial"/>
          <w:sz w:val="18"/>
          <w:szCs w:val="18"/>
          <w:i w:val="1"/>
          <w:iCs w:val="1"/>
          <w:color w:val="auto"/>
        </w:rPr>
        <w:t>Operating and Financial Review and Prospects</w:t>
      </w:r>
      <w:r>
        <w:rPr>
          <w:rFonts w:ascii="Arial" w:cs="Arial" w:eastAsia="Arial" w:hAnsi="Arial"/>
          <w:sz w:val="18"/>
          <w:szCs w:val="18"/>
          <w:color w:val="auto"/>
        </w:rPr>
        <w:t xml:space="preserve">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Business 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We have built a next-generation eCommerce risk management platform that allows online merchants to create trusted relationships with their consumers. Leveraging machine learning that benefits from a global merchant network, our platform identifies the individual behind each online interaction, helping merchants—our customers—eliminate risk and uncertainty from their business. We drive higher sales and reduce fraud and other operating costs for our merchants and strive to provide superior consumer experiences, as compared to our merchants’ performance prior to onboarding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89" w:right="379" w:bottom="1440" w:gutter="0" w:footer="0" w:header="0"/>
        </w:sectPr>
      </w:pPr>
    </w:p>
    <w:bookmarkStart w:id="52" w:name="page53"/>
    <w:bookmarkEnd w:id="52"/>
    <w:p>
      <w:pPr>
        <w:ind w:right="160" w:firstLine="318"/>
        <w:spacing w:after="0" w:line="248" w:lineRule="auto"/>
        <w:rPr>
          <w:sz w:val="20"/>
          <w:szCs w:val="20"/>
          <w:color w:val="auto"/>
        </w:rPr>
      </w:pPr>
      <w:r>
        <w:rPr>
          <w:rFonts w:ascii="Arial" w:cs="Arial" w:eastAsia="Arial" w:hAnsi="Arial"/>
          <w:sz w:val="18"/>
          <w:szCs w:val="18"/>
          <w:color w:val="auto"/>
        </w:rPr>
        <w:t>We believe legacy eCommerce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w:t>
      </w:r>
    </w:p>
    <w:p>
      <w:pPr>
        <w:spacing w:after="0" w:line="153"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Larger, global merchants can also employ hundreds of support personnel to manually review consumer interactions (e.g. orders, returns, refund claims and account recoveries). We believe these slow manual processes produce poor shopping experiences that lead to abandoned shopping carts. Additionally, this outdated infrastructure may prevent merchants from adapting to fast-changing consumer preferences and fraud techniques.</w:t>
      </w:r>
    </w:p>
    <w:p>
      <w:pPr>
        <w:spacing w:after="0" w:line="155"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Our eCommerce risk management platform is built to solve these problems with proprietary machine learning models that drive an automated decisioning engine. We have designed our platform to be fast, accurate, scalable, and cost-effective. It supports our core chargeback guarantee product—which optimizes merchant approval rates—as well as other products that mitigate similar eCommerce risks for those same merchants.</w:t>
      </w:r>
    </w:p>
    <w:p>
      <w:pPr>
        <w:spacing w:after="0" w:line="15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All of our products are designed to generate additional revenue or cost savings for merchants, while improving the online shopping experience for their consumers. Our core product, the Chargeback Guarantee, automatically approves or denies online orders with guaranteed performance levels that vary in accordance with our merchants’ priorities. Our machine learning models analyze hundreds of attributes per transaction, generating decisions in real time. We guarantee the outcome of these decisions by assuming the cost of fraud associated with each approval we grant. Simultaneously, we provide contractual minimum approval rates for our Chargeback Guarantee merchants that are often higher than these merchants can achieve on their own.</w:t>
      </w:r>
    </w:p>
    <w:p>
      <w:pPr>
        <w:spacing w:after="0" w:line="158" w:lineRule="exact"/>
        <w:rPr>
          <w:sz w:val="20"/>
          <w:szCs w:val="20"/>
          <w:color w:val="auto"/>
        </w:rPr>
      </w:pPr>
    </w:p>
    <w:p>
      <w:pPr>
        <w:ind w:right="200" w:firstLine="318"/>
        <w:spacing w:after="0" w:line="266" w:lineRule="auto"/>
        <w:rPr>
          <w:sz w:val="20"/>
          <w:szCs w:val="20"/>
          <w:color w:val="auto"/>
        </w:rPr>
      </w:pPr>
      <w:r>
        <w:rPr>
          <w:rFonts w:ascii="Arial" w:cs="Arial" w:eastAsia="Arial" w:hAnsi="Arial"/>
          <w:sz w:val="17"/>
          <w:szCs w:val="17"/>
          <w:color w:val="auto"/>
        </w:rPr>
        <w:t>We access our merchant’s transaction data through deep integrations into their mission-critical infrastructure, including their eCommerce, order management, and customer relationship management systems. Collecting relevant data across our merchant network allows us to identify complex transaction and behavior patterns that are not easily identifiable by merchants on their own. Our ability to help our merchants stems from the fact that we continuously feed this real-time training data into our sophisticated machine learning models.</w:t>
      </w:r>
    </w:p>
    <w:p>
      <w:pPr>
        <w:spacing w:after="0" w:line="14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service merchants of all sizes, from multi-billion dollar global omnichannel retailers to small pure play merchants on Shopify. However, we focus on supporting enterprise merchants, which we define as merchants generating over $75 million in online sales per year. Our merchants include some of the largest eCommerce brands in the world, including Wayfair, Live Nation, and Peloton. Our merchants operate in a variety of verticals, including multiline retail and marketplaces, travel, fashion, digital goods, and luxury.</w:t>
      </w:r>
    </w:p>
    <w:p>
      <w:pPr>
        <w:spacing w:after="0" w:line="155"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charge our merchants a percentage of every dollar of GMV that we approve, so our incentive is to approve as many orders as we safely can on the merchant’s behalf. We believe that this merchant-centric approach, coupled with our rigorous decisioning process, maximizes our financial results and those of our merchants.</w:t>
      </w:r>
    </w:p>
    <w:p>
      <w:pPr>
        <w:spacing w:after="0" w:line="153"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fee we charge our merchants is a risk-adjusted price, which is expressed as a percentage of the GMV dollars that we approve. This fee, which is established at contract inception, varies by merchant based on a variety of inputs, including the type of merchant, the risk level of the end market, the percentage of GMV we review from the merchant, and the guaranteed approval rates we agree to provide. When our merchants ask us to review transactions from end markets that carry higher risk, we may charge higher fees.</w:t>
      </w:r>
    </w:p>
    <w:p>
      <w:pPr>
        <w:spacing w:after="0" w:line="155" w:lineRule="exact"/>
        <w:rPr>
          <w:sz w:val="20"/>
          <w:szCs w:val="20"/>
          <w:color w:val="auto"/>
        </w:rPr>
      </w:pPr>
    </w:p>
    <w:p>
      <w:pPr>
        <w:jc w:val="both"/>
        <w:ind w:right="220" w:firstLine="318"/>
        <w:spacing w:after="0" w:line="248" w:lineRule="auto"/>
        <w:rPr>
          <w:sz w:val="20"/>
          <w:szCs w:val="20"/>
          <w:color w:val="auto"/>
        </w:rPr>
      </w:pPr>
      <w:r>
        <w:rPr>
          <w:rFonts w:ascii="Arial" w:cs="Arial" w:eastAsia="Arial" w:hAnsi="Arial"/>
          <w:sz w:val="18"/>
          <w:szCs w:val="18"/>
          <w:color w:val="auto"/>
        </w:rPr>
        <w:t>If an approved transaction that we guaranteed results in an eligible chargeback, we will reimburse the merchant for the amount of the lost sale. In this situation, we record a chargeback guarantee expense in cost of revenue and typically provide the payment to the merchant in the form of credits on future invoices.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3" w:name="page54"/>
    <w:bookmarkEnd w:id="53"/>
    <w:p>
      <w:pPr>
        <w:ind w:right="1540" w:firstLine="318"/>
        <w:spacing w:after="0" w:line="430" w:lineRule="auto"/>
        <w:rPr>
          <w:sz w:val="20"/>
          <w:szCs w:val="20"/>
          <w:color w:val="auto"/>
        </w:rPr>
      </w:pPr>
      <w:r>
        <w:rPr>
          <w:rFonts w:ascii="Arial" w:cs="Arial" w:eastAsia="Arial" w:hAnsi="Arial"/>
          <w:sz w:val="18"/>
          <w:szCs w:val="18"/>
          <w:color w:val="auto"/>
        </w:rPr>
        <w:t xml:space="preserve">We have achieved significant scale, having processed total GMV of $89.1 billion for the year ended December 31, 2021. </w:t>
      </w:r>
      <w:r>
        <w:rPr>
          <w:rFonts w:ascii="Arial" w:cs="Arial" w:eastAsia="Arial" w:hAnsi="Arial"/>
          <w:sz w:val="18"/>
          <w:szCs w:val="18"/>
          <w:b w:val="1"/>
          <w:bCs w:val="1"/>
          <w:color w:val="auto"/>
        </w:rPr>
        <w:t>Our eCommerce Risk Management Platform &amp; Product</w:t>
      </w:r>
    </w:p>
    <w:p>
      <w:pPr>
        <w:ind w:right="280" w:firstLine="318"/>
        <w:spacing w:after="0" w:line="251" w:lineRule="auto"/>
        <w:rPr>
          <w:sz w:val="20"/>
          <w:szCs w:val="20"/>
          <w:color w:val="auto"/>
        </w:rPr>
      </w:pPr>
      <w:r>
        <w:rPr>
          <w:rFonts w:ascii="Arial" w:cs="Arial" w:eastAsia="Arial" w:hAnsi="Arial"/>
          <w:sz w:val="18"/>
          <w:szCs w:val="18"/>
          <w:color w:val="auto"/>
        </w:rPr>
        <w:t>Our eCommerce risk management platform automates the complexities of eCommerce for merchants, and enables them to offer simple, frictionless consumer experiences.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Riskified eCommerce Risk Management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118745</wp:posOffset>
            </wp:positionV>
            <wp:extent cx="5250180" cy="32727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50180" cy="327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Sources</w:t>
      </w:r>
    </w:p>
    <w:p>
      <w:pPr>
        <w:spacing w:after="0" w:line="186" w:lineRule="exact"/>
        <w:rPr>
          <w:sz w:val="20"/>
          <w:szCs w:val="20"/>
          <w:color w:val="auto"/>
        </w:rPr>
      </w:pPr>
    </w:p>
    <w:p>
      <w:pPr>
        <w:ind w:right="180" w:firstLine="318"/>
        <w:spacing w:after="0" w:line="270" w:lineRule="auto"/>
        <w:rPr>
          <w:sz w:val="20"/>
          <w:szCs w:val="20"/>
          <w:color w:val="auto"/>
        </w:rPr>
      </w:pPr>
      <w:r>
        <w:rPr>
          <w:rFonts w:ascii="Arial" w:cs="Arial" w:eastAsia="Arial" w:hAnsi="Arial"/>
          <w:sz w:val="17"/>
          <w:szCs w:val="17"/>
          <w:color w:val="auto"/>
        </w:rPr>
        <w:t>We deeply integrate into merchants’ systems that house and track transaction data and online interactions. Extrapolating this level of access across our global merchant base provides tremendous data resources that we use to train our machine learning models. We can draw insights from over a billion historical transactions executed on our merchant network, each of which contains hundreds of data attributes.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Extensive and automated analysis of these attributes, both individually and as part of the aggregated global network, positions us to determine which consumers and transactions are legitimate or fraudulent. Our machine learning algorithms produce real-time insights that are trained for anomaly detection and pattern recognition based on the other transactions and interactions that have occurred, and are occurring, on our network.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Tools</w:t>
      </w:r>
    </w:p>
    <w:p>
      <w:pPr>
        <w:spacing w:after="0" w:line="186"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Our dashboards give merchants real-time visibility into every decision that we review. This empowers merchants to review, understand, and override decisions where we are unwilling to guarantee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4" w:name="page55"/>
    <w:bookmarkEnd w:id="54"/>
    <w:p>
      <w:pPr>
        <w:ind w:right="620"/>
        <w:spacing w:after="0" w:line="251" w:lineRule="auto"/>
        <w:rPr>
          <w:sz w:val="20"/>
          <w:szCs w:val="20"/>
          <w:color w:val="auto"/>
        </w:rPr>
      </w:pPr>
      <w:r>
        <w:rPr>
          <w:rFonts w:ascii="Arial" w:cs="Arial" w:eastAsia="Arial" w:hAnsi="Arial"/>
          <w:sz w:val="18"/>
          <w:szCs w:val="18"/>
          <w:color w:val="auto"/>
        </w:rPr>
        <w:t>transaction. Our dashboards also include up-to-date key performance metrics, including order approval rates, account challenges, order declines and chargebacks.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86" w:lineRule="exact"/>
        <w:rPr>
          <w:sz w:val="20"/>
          <w:szCs w:val="20"/>
          <w:color w:val="auto"/>
        </w:rPr>
      </w:pPr>
    </w:p>
    <w:p>
      <w:pPr>
        <w:ind w:right="480" w:firstLine="318"/>
        <w:spacing w:after="0" w:line="248" w:lineRule="auto"/>
        <w:rPr>
          <w:sz w:val="20"/>
          <w:szCs w:val="20"/>
          <w:color w:val="auto"/>
        </w:rPr>
      </w:pPr>
      <w:r>
        <w:rPr>
          <w:rFonts w:ascii="Arial" w:cs="Arial" w:eastAsia="Arial" w:hAnsi="Arial"/>
          <w:sz w:val="18"/>
          <w:szCs w:val="18"/>
          <w:color w:val="auto"/>
        </w:rPr>
        <w:t>Risk management is at the very heart of our business. We have established strict processes that allow us to manage our overall chargeback exposure and control realized chargeback expenses within predetermined budget levels. In addition, we constantly adjust our merchants’ approval and chargeback rates to rebalance our exposure and our expected expenses during any given period.</w:t>
      </w:r>
    </w:p>
    <w:p>
      <w:pPr>
        <w:spacing w:after="0" w:line="131" w:lineRule="exact"/>
        <w:rPr>
          <w:sz w:val="20"/>
          <w:szCs w:val="20"/>
          <w:color w:val="auto"/>
        </w:rPr>
      </w:pPr>
    </w:p>
    <w:p>
      <w:pPr>
        <w:ind w:left="640" w:right="40" w:hanging="316"/>
        <w:spacing w:after="0" w:line="269"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Strong track record driven by real-time training data</w:t>
      </w:r>
      <w:r>
        <w:rPr>
          <w:rFonts w:ascii="Arial" w:cs="Arial" w:eastAsia="Arial" w:hAnsi="Arial"/>
          <w:sz w:val="17"/>
          <w:szCs w:val="17"/>
          <w:color w:val="auto"/>
        </w:rPr>
        <w:t>: Our engagement model has built-in feedback loops that provide us with up-to-date, high quality training data in the form of chargeback transactions from across our merchant network. This data constantly updates our models to improve their accuracy. Additionally, we have observed a large and diverse population of chargeback transactions since our founding. Combined with our real-time feedback loops, we believe the volume of our high-quality, historical chargeback data is critical to the accuracy of our models. Since our founding, we have incurred relatively few chargebacks, measured as a percentage of our total approved transactions. Historically, chargeback expenses have been equal to or better than our annual budgets.</w:t>
      </w:r>
    </w:p>
    <w:p>
      <w:pPr>
        <w:spacing w:after="0" w:line="116" w:lineRule="exact"/>
        <w:rPr>
          <w:rFonts w:ascii="Arial" w:cs="Arial" w:eastAsia="Arial" w:hAnsi="Arial"/>
          <w:sz w:val="17"/>
          <w:szCs w:val="17"/>
          <w:color w:val="auto"/>
        </w:rPr>
      </w:pPr>
    </w:p>
    <w:p>
      <w:pPr>
        <w:ind w:left="640" w:hanging="316"/>
        <w:spacing w:after="0" w:line="252"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Active risk monitoring</w:t>
      </w:r>
      <w:r>
        <w:rPr>
          <w:rFonts w:ascii="Arial" w:cs="Arial" w:eastAsia="Arial" w:hAnsi="Arial"/>
          <w:sz w:val="18"/>
          <w:szCs w:val="18"/>
          <w:color w:val="auto"/>
        </w:rPr>
        <w:t>: We supplement our models with a variety of tools that detect anomalies and prevent fraud in real time. We use</w:t>
      </w:r>
      <w:r>
        <w:rPr>
          <w:rFonts w:ascii="Arial" w:cs="Arial" w:eastAsia="Arial" w:hAnsi="Arial"/>
          <w:sz w:val="18"/>
          <w:szCs w:val="18"/>
          <w:b w:val="1"/>
          <w:bCs w:val="1"/>
          <w:color w:val="auto"/>
        </w:rPr>
        <w:t xml:space="preserve"> </w:t>
      </w:r>
      <w:r>
        <w:rPr>
          <w:rFonts w:ascii="Arial" w:cs="Arial" w:eastAsia="Arial" w:hAnsi="Arial"/>
          <w:sz w:val="18"/>
          <w:szCs w:val="18"/>
          <w:color w:val="auto"/>
        </w:rPr>
        <w:t>a layered approach to ensure that there are multiple levels of analyses performed on each transaction we approve. This layered approach optimizes the overall performance of our eCommerce risk management platform while also creating fail safe mechanisms. For example, our anomaly detection models detect blind spots that our supervised models cannot. We also employ real-time alerting systems for early detection any time our exposure exceeds certain thresholds. Lastly, we use a combination of automated and manual reviews from highly skilled risk analysts to review our exposure on a regular basis, no less than daily.</w:t>
      </w:r>
    </w:p>
    <w:p>
      <w:pPr>
        <w:spacing w:after="0" w:line="126" w:lineRule="exact"/>
        <w:rPr>
          <w:rFonts w:ascii="Arial" w:cs="Arial" w:eastAsia="Arial" w:hAnsi="Arial"/>
          <w:sz w:val="18"/>
          <w:szCs w:val="18"/>
          <w:color w:val="auto"/>
        </w:rPr>
      </w:pPr>
    </w:p>
    <w:p>
      <w:pPr>
        <w:ind w:left="640" w:hanging="316"/>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Real-time adjustments optimize long term outcomes</w:t>
      </w:r>
      <w:r>
        <w:rPr>
          <w:rFonts w:ascii="Arial" w:cs="Arial" w:eastAsia="Arial" w:hAnsi="Arial"/>
          <w:sz w:val="18"/>
          <w:szCs w:val="18"/>
          <w:color w:val="auto"/>
        </w:rPr>
        <w:t>: We adjust our approval rate in real time as we detect riskier order populations.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allows us to outperform for our merchants when we see safer transactions, while also reducing approval rates when we see riskier transactions. This ability to react opportunistically to changing market conditions and fraud trends allows us to optimize our long term approval rate while also managing our overall chargeback exposure.</w:t>
      </w:r>
    </w:p>
    <w:p>
      <w:pPr>
        <w:spacing w:after="0" w:line="123"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Daily exposure modeling</w:t>
      </w:r>
      <w:r>
        <w:rPr>
          <w:rFonts w:ascii="Arial" w:cs="Arial" w:eastAsia="Arial" w:hAnsi="Arial"/>
          <w:sz w:val="18"/>
          <w:szCs w:val="18"/>
          <w:color w:val="auto"/>
        </w:rPr>
        <w:t>: To calculate our exposure in worst case scenarios, we constantly evaluate hypothetical scenarios where</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declined transactions are instead assumed by us as approved transactions. Using statistical modeling and regression analysis, we classify these hypothetical approvals into risk exposure tranches, based on the probability that they result in fraudulent chargebacks born by Riskified. We calculate our exposure to these transactions as the total value of the hypothetically approved transactions multiplied by the probability of a chargeback as determined originally by our models. We monitor to ensure that our liquidity is well in excess of our maximum potential calculated exposure. We update this analysis daily to ensure that our cash on hand can support an extended period of anomalous chargeback activity.</w:t>
      </w:r>
    </w:p>
    <w:p>
      <w:pPr>
        <w:spacing w:after="0" w:line="127" w:lineRule="exact"/>
        <w:rPr>
          <w:rFonts w:ascii="Arial" w:cs="Arial" w:eastAsia="Arial" w:hAnsi="Arial"/>
          <w:sz w:val="18"/>
          <w:szCs w:val="18"/>
          <w:color w:val="auto"/>
        </w:rPr>
      </w:pPr>
    </w:p>
    <w:p>
      <w:pPr>
        <w:ind w:left="640" w:right="40" w:hanging="316"/>
        <w:spacing w:after="0" w:line="252"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Risk diversification</w:t>
      </w:r>
      <w:r>
        <w:rPr>
          <w:rFonts w:ascii="Arial" w:cs="Arial" w:eastAsia="Arial" w:hAnsi="Arial"/>
          <w:sz w:val="18"/>
          <w:szCs w:val="18"/>
          <w:color w:val="auto"/>
        </w:rPr>
        <w:t>: Significant fraud events, while rare, are typically isolated to a particular merchant or industry. As a result, our</w:t>
      </w:r>
      <w:r>
        <w:rPr>
          <w:rFonts w:ascii="Arial" w:cs="Arial" w:eastAsia="Arial" w:hAnsi="Arial"/>
          <w:sz w:val="18"/>
          <w:szCs w:val="18"/>
          <w:b w:val="1"/>
          <w:bCs w:val="1"/>
          <w:color w:val="auto"/>
        </w:rPr>
        <w:t xml:space="preserve"> </w:t>
      </w:r>
      <w:r>
        <w:rPr>
          <w:rFonts w:ascii="Arial" w:cs="Arial" w:eastAsia="Arial" w:hAnsi="Arial"/>
          <w:sz w:val="18"/>
          <w:szCs w:val="18"/>
          <w:color w:val="auto"/>
        </w:rPr>
        <w:t>chargeback expenses have become less volatile over time as we scaled. Furthermore, the average transaction value we assume is less than $200. This means that unexpected chargebacks need to occur in large volumes to meaningfully impact our overall chargeback expenses. As of December 31, 2021, our portfolio of potential chargeback liabilities was diversified across a number of industries, hundreds of merchants and millions of individual transactions. We believe this diversity significantly reduces the likelihood of material unexpected chargeback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55" w:name="page56"/>
    <w:bookmarkEnd w:id="55"/>
    <w:p>
      <w:pPr>
        <w:ind w:left="640" w:right="20" w:hanging="316"/>
        <w:spacing w:after="0" w:line="272"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Short-term durations provide near immediate visibility</w:t>
      </w:r>
      <w:r>
        <w:rPr>
          <w:rFonts w:ascii="Arial" w:cs="Arial" w:eastAsia="Arial" w:hAnsi="Arial"/>
          <w:sz w:val="17"/>
          <w:szCs w:val="17"/>
          <w:color w:val="auto"/>
        </w:rPr>
        <w:t>: Our merchant agreements generally allow chargebacks to be submitted up</w:t>
      </w:r>
      <w:r>
        <w:rPr>
          <w:rFonts w:ascii="Arial" w:cs="Arial" w:eastAsia="Arial" w:hAnsi="Arial"/>
          <w:sz w:val="17"/>
          <w:szCs w:val="17"/>
          <w:b w:val="1"/>
          <w:bCs w:val="1"/>
          <w:color w:val="auto"/>
        </w:rPr>
        <w:t xml:space="preserve"> </w:t>
      </w:r>
      <w:r>
        <w:rPr>
          <w:rFonts w:ascii="Arial" w:cs="Arial" w:eastAsia="Arial" w:hAnsi="Arial"/>
          <w:sz w:val="17"/>
          <w:szCs w:val="17"/>
          <w:color w:val="auto"/>
        </w:rPr>
        <w:t>to six months from the order approval date. They are also typically required to notify us of an eligible chargeback within five days. As a result, chargeback liabilities typically have very short durations. Approximately 90% of chargebacks are incurred within the first 90 days after the transaction date. This allows us to forecast the expenses associated with a new cohort of approved transactions at the same time. Furthermore, as we receive chargeback notifications from our merchants, we are able to decline similar future orders in real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186"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Our platform includes multiple products that are all built on the same automated decisioning engine. Chargeback Guarantee is our core product that is used by substantially all of our customers. Some merchants also use other products in combination with Chargeback Guarantee to increase the overall value they receive from the platform.</w:t>
      </w:r>
    </w:p>
    <w:p>
      <w:pPr>
        <w:spacing w:after="0" w:line="15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Chargeback Guarantee product automatically approves or denies online orders with guaranteed performance levels that vary by online merchant. Our machine learning models analyze hundreds of attributes per transaction, generating accurate decisions instantaneously. Through our proprietary smart linking technology, we strive to accurately match transactions that occur on our network with similar transactions that occurred on our network across hundreds of variables per transaction. We guarantee the outcome of these decisions by assuming the cost of fraud associated with each transaction we approve. Simultaneously, we provide contractual minimum approval rates for our Chargeback Guarantee merchants that are often higher than the approval rates that these merchants’ were able to achieve prior to commencing work with us.</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growth of our merchant network has enabled us to identify many other pain points that our decisioning engine can help solve for our merchants. We are able to help solve these problems using the extensive information we collect from our merchants’ online store fronts and back-end systems including their order management, fulfillment, payments, and customer support systems. Our Policy Protect and Account Secure products help merchants identify and block consumers that may be taking advantage of a merchant’s Terms and Conditions or that may be trying to gain unauthorized access to another consumer’s account. Our Deco and PSD2 Optimize products help merchants avoid bank authorization failures and abandoned shopping carts resulting from the Secure Customer Authentication process. Merchants use these products to provide superior consumer experiences, increase profitable revenues, and decrease costs, just like they do with Chargeback Guarantee.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eCommerce Risk Management Platform</w:t>
      </w:r>
    </w:p>
    <w:p>
      <w:pPr>
        <w:spacing w:after="0" w:line="186" w:lineRule="exact"/>
        <w:rPr>
          <w:sz w:val="20"/>
          <w:szCs w:val="20"/>
          <w:color w:val="auto"/>
        </w:rPr>
      </w:pPr>
    </w:p>
    <w:p>
      <w:pPr>
        <w:ind w:right="580" w:firstLine="318"/>
        <w:spacing w:after="0" w:line="251" w:lineRule="auto"/>
        <w:rPr>
          <w:sz w:val="20"/>
          <w:szCs w:val="20"/>
          <w:color w:val="auto"/>
        </w:rPr>
      </w:pPr>
      <w:r>
        <w:rPr>
          <w:rFonts w:ascii="Arial" w:cs="Arial" w:eastAsia="Arial" w:hAnsi="Arial"/>
          <w:sz w:val="18"/>
          <w:szCs w:val="18"/>
          <w:color w:val="auto"/>
        </w:rPr>
        <w:t>We believe we provide superior outcomes for online merchants by eliminating the friction and uncertainty commonly associated with eCommerce. Our eCommerce risk management platform is designed to provide the following benefits:</w:t>
      </w:r>
    </w:p>
    <w:p>
      <w:pPr>
        <w:spacing w:after="0" w:line="128" w:lineRule="exact"/>
        <w:rPr>
          <w:sz w:val="20"/>
          <w:szCs w:val="20"/>
          <w:color w:val="auto"/>
        </w:rPr>
      </w:pPr>
    </w:p>
    <w:p>
      <w:pPr>
        <w:ind w:left="640" w:right="580" w:hanging="316"/>
        <w:spacing w:after="0" w:line="27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Increase sales</w:t>
      </w:r>
      <w:r>
        <w:rPr>
          <w:rFonts w:ascii="Arial" w:cs="Arial" w:eastAsia="Arial" w:hAnsi="Arial"/>
          <w:sz w:val="18"/>
          <w:szCs w:val="18"/>
          <w:color w:val="auto"/>
        </w:rPr>
        <w:t>: We allow merchants to generate higher revenues by increasing their approval rates for online transactions.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can increase merchant sales approval rates by, in some cases, more than 20%.</w:t>
      </w:r>
    </w:p>
    <w:p>
      <w:pPr>
        <w:spacing w:after="0" w:line="106" w:lineRule="exact"/>
        <w:rPr>
          <w:rFonts w:ascii="Arial" w:cs="Arial" w:eastAsia="Arial" w:hAnsi="Arial"/>
          <w:sz w:val="18"/>
          <w:szCs w:val="18"/>
          <w:color w:val="auto"/>
        </w:rPr>
      </w:pPr>
    </w:p>
    <w:p>
      <w:pPr>
        <w:ind w:left="640" w:hanging="316"/>
        <w:spacing w:after="0" w:line="26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Reduce fraud</w:t>
      </w:r>
      <w:r>
        <w:rPr>
          <w:rFonts w:ascii="Arial" w:cs="Arial" w:eastAsia="Arial" w:hAnsi="Arial"/>
          <w:sz w:val="18"/>
          <w:szCs w:val="18"/>
          <w:color w:val="auto"/>
        </w:rPr>
        <w:t>: Our platform automatically identifies and rejects fraudulent online transactions that would result in unnecessary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for our merchants. We also assume the cost of fraudulent transactions if they are approved. Net of our fees, our platform can reduce these costs for our merchants, in some cases, by more than 60%.</w:t>
      </w:r>
    </w:p>
    <w:p>
      <w:pPr>
        <w:spacing w:after="0" w:line="119" w:lineRule="exact"/>
        <w:rPr>
          <w:rFonts w:ascii="Arial" w:cs="Arial" w:eastAsia="Arial" w:hAnsi="Arial"/>
          <w:sz w:val="18"/>
          <w:szCs w:val="18"/>
          <w:color w:val="auto"/>
        </w:rPr>
      </w:pPr>
    </w:p>
    <w:p>
      <w:pPr>
        <w:ind w:left="640" w:right="60" w:hanging="316"/>
        <w:spacing w:after="0" w:line="26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Reduce operating costs</w:t>
      </w:r>
      <w:r>
        <w:rPr>
          <w:rFonts w:ascii="Arial" w:cs="Arial" w:eastAsia="Arial" w:hAnsi="Arial"/>
          <w:sz w:val="18"/>
          <w:szCs w:val="18"/>
          <w:color w:val="auto"/>
        </w:rPr>
        <w:t>: We replace antiquated systems and labor-intensive, costly fraud fighting methodologies with automated</w:t>
      </w:r>
      <w:r>
        <w:rPr>
          <w:rFonts w:ascii="Arial" w:cs="Arial" w:eastAsia="Arial" w:hAnsi="Arial"/>
          <w:sz w:val="18"/>
          <w:szCs w:val="18"/>
          <w:b w:val="1"/>
          <w:bCs w:val="1"/>
          <w:color w:val="auto"/>
        </w:rPr>
        <w:t xml:space="preserve"> </w:t>
      </w:r>
      <w:r>
        <w:rPr>
          <w:rFonts w:ascii="Arial" w:cs="Arial" w:eastAsia="Arial" w:hAnsi="Arial"/>
          <w:sz w:val="18"/>
          <w:szCs w:val="18"/>
          <w:color w:val="auto"/>
        </w:rPr>
        <w:t>algorithms that save our merchants significant time and money. By reducing the operating costs our merchants incur, we free business resources that can be redirected towards growing their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89" w:right="399" w:bottom="1440" w:gutter="0" w:footer="0" w:header="0"/>
        </w:sectPr>
      </w:pPr>
    </w:p>
    <w:bookmarkStart w:id="56" w:name="page57"/>
    <w:bookmarkEnd w:id="56"/>
    <w:p>
      <w:pPr>
        <w:ind w:left="640" w:hanging="316"/>
        <w:spacing w:after="0" w:line="253"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Optimize consumer experiences</w:t>
      </w:r>
      <w:r>
        <w:rPr>
          <w:rFonts w:ascii="Arial" w:cs="Arial" w:eastAsia="Arial" w:hAnsi="Arial"/>
          <w:sz w:val="18"/>
          <w:szCs w:val="18"/>
          <w:color w:val="auto"/>
        </w:rPr>
        <w:t>: Higher approval rates mean lower consumer drop-off and fewer false declines of legitimate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Our product gives merchants the ability to take full advantage of emerging omnichannel flows such as buy-online-pickup-in-store and buy-online-pickup-at-curb without increasing the risk of fraudulent sales. In addition, we enable merchants to maintain consumer-friendly policies by preventing policy abuse and malicious account logins. This builds a stronger, long-term relationship between merchants and consumers, driving more sales to merchants over time.</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The Riskified Value Proposition</w:t>
      </w:r>
      <w:r>
        <w:rPr>
          <w:rFonts w:ascii="Arial" w:cs="Arial" w:eastAsia="Arial" w:hAnsi="Arial"/>
          <w:sz w:val="22"/>
          <w:szCs w:val="22"/>
          <w:b w:val="1"/>
          <w:bCs w:val="1"/>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90805</wp:posOffset>
            </wp:positionV>
            <wp:extent cx="5250180" cy="2515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50180" cy="2515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rPr>
          <w:sz w:val="20"/>
          <w:szCs w:val="20"/>
          <w:color w:val="auto"/>
        </w:rPr>
      </w:pPr>
      <w:r>
        <w:rPr>
          <w:rFonts w:ascii="Arial" w:cs="Arial" w:eastAsia="Arial" w:hAnsi="Arial"/>
          <w:sz w:val="14"/>
          <w:szCs w:val="14"/>
          <w:color w:val="auto"/>
        </w:rPr>
        <w:t>(1) This chart is an illustrative representation that does not represent actual or proportional results of any merchant.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generate substantial return on investment for our merchants</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We generate substantial return on investment throughout the lifecycle of our relationships with our merchants by increasing merchants’ online sales and reducing their operating costs. As a result, we experience strong retention rates, which supports our organic growth. We believe that the active performance management we perform is an important driver of our merchants' return on investment. We provide performance management through a combination of real time monitoring, proprietary tools, and surgical optimization of specific subsets of our merchants' order volumes.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Powerful flywheel effect</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eCommerce risk management platform gets stronger from each transaction we process and each merchant we add to our network. Each transaction we review enhances our data sets and our ability to identify similar characteristics between transactions on our network. Our platform evaluates millions of transactions daily using feedback from past transactions. As we grow, this sophisticated transaction matching enables us to deliver a strong return on investment for our merchants and drives robust product innovation that enhances the consumer shopping experience. We then leverage this improved ROI for our merchants and our enhanced product suite to attract more merchants, which drives more transactions to our platform and fuels further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89"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Compounding data advantages over a growing merchant network</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Since our founding, we have accumulated over a billion historical transactions from our merchant network with hundreds of data variables per transaction. As a result we have repeat interaction histories for more than 400 million consumers. This data was collected across our global merchant base from leading eCommerce brand online merchants, with whom we have built trusted relationships. As a result, our machine learning models create powerful, real-time predictive insights that we believe are difficult to replicate.</w:t>
      </w:r>
    </w:p>
    <w:p>
      <w:pPr>
        <w:spacing w:after="0" w:line="15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scale of our merchant network and processed volume continue to grow. For the year ended December 31, 2021, our total GMV grew 40% to $89.1 billion compared to the year ended December 31, 2020. We serve some of the largest and most recognizable eCommerce brands globally. We believe the scale of our eCommerce risk management platform is a competitive advantage because it is the foundation of the scope, depth and power of the data we use to train our models.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expertise serving the enterprise market</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service merchants of all sizes, from multi-billion dollar global omnichannel retailers to small pure play merchants on Shopify. However, we focus on supporting enterprise merchants, which we define as merchants generating over $75 million in online sales per year. We are positioned to support enterprise merchants for several reasons. First, our eCommerce risk management platform is highly customizable to meet each merchant’s unique requirements. Second, we are able to simplify the vast amounts of complexity that are unique to enterprise operating environments. Third, unlike many eCommerce enablement platforms, we do not compete with our merchants to own the consumer relationship through mobile apps or other touch points. We believe this gives us privileged access to significantly more data than banks or other payment companies receive.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Entrepreneurial Culture Fostering Continuous Innovation</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culture is an essential component of our success that allows us to hire and retain top talent. We maintain a highly collaborative working environment where everyone, no matter what location or role, is empowered to solve challenging problems while also contributing to the communities we live in. Our Operating Principles (Clients First, Excellence, Authenticity &amp; Transparency, Question the Status Quo, Rigor, Empowerment and Autonomy, Resourcefulness, Collaboration, Always Learning, and Bigger than Ourselves) lay out our values for interacting with our merchants and one another. We empower our team members to learn and grow and make a conscious effort to promote people from within, offer varied development opportunities, and create space for people to try new things and utilize their unique skill sets. We also host a Fraud Academy for our analytics and data science employees, which includes 140 hours of training, to help our team members further develop their skills.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w:t>
      </w:r>
    </w:p>
    <w:p>
      <w:pPr>
        <w:spacing w:after="0" w:line="186" w:lineRule="exact"/>
        <w:rPr>
          <w:sz w:val="20"/>
          <w:szCs w:val="20"/>
          <w:color w:val="auto"/>
        </w:rPr>
      </w:pPr>
    </w:p>
    <w:p>
      <w:pPr>
        <w:ind w:right="440" w:firstLine="318"/>
        <w:spacing w:after="0" w:line="251" w:lineRule="auto"/>
        <w:rPr>
          <w:sz w:val="20"/>
          <w:szCs w:val="20"/>
          <w:color w:val="auto"/>
        </w:rPr>
      </w:pPr>
      <w:r>
        <w:rPr>
          <w:rFonts w:ascii="Arial" w:cs="Arial" w:eastAsia="Arial" w:hAnsi="Arial"/>
          <w:sz w:val="18"/>
          <w:szCs w:val="18"/>
          <w:color w:val="auto"/>
        </w:rPr>
        <w:t>Our eCommerce risk management platform is explicitly designed and engineered to integrate with a wide range of merchants. We can accommodate and grow with the world’s largest merchants:</w:t>
      </w:r>
    </w:p>
    <w:p>
      <w:pPr>
        <w:spacing w:after="0" w:line="128" w:lineRule="exact"/>
        <w:rPr>
          <w:sz w:val="20"/>
          <w:szCs w:val="20"/>
          <w:color w:val="auto"/>
        </w:rPr>
      </w:pPr>
    </w:p>
    <w:p>
      <w:pPr>
        <w:ind w:left="640" w:right="440" w:hanging="316"/>
        <w:spacing w:after="0" w:line="27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Scale</w:t>
      </w:r>
      <w:r>
        <w:rPr>
          <w:rFonts w:ascii="Arial" w:cs="Arial" w:eastAsia="Arial" w:hAnsi="Arial"/>
          <w:sz w:val="18"/>
          <w:szCs w:val="18"/>
          <w:color w:val="auto"/>
        </w:rPr>
        <w:t>: We serve merchants with multiple regional store fronts and large global presences. Our largest merchants generate tens of</w:t>
      </w:r>
      <w:r>
        <w:rPr>
          <w:rFonts w:ascii="Arial" w:cs="Arial" w:eastAsia="Arial" w:hAnsi="Arial"/>
          <w:sz w:val="18"/>
          <w:szCs w:val="18"/>
          <w:b w:val="1"/>
          <w:bCs w:val="1"/>
          <w:color w:val="auto"/>
        </w:rPr>
        <w:t xml:space="preserve"> </w:t>
      </w:r>
      <w:r>
        <w:rPr>
          <w:rFonts w:ascii="Arial" w:cs="Arial" w:eastAsia="Arial" w:hAnsi="Arial"/>
          <w:sz w:val="18"/>
          <w:szCs w:val="18"/>
          <w:color w:val="auto"/>
        </w:rPr>
        <w:t>billions of dollars in online sales each year.</w:t>
      </w:r>
    </w:p>
    <w:p>
      <w:pPr>
        <w:spacing w:after="0" w:line="106" w:lineRule="exact"/>
        <w:rPr>
          <w:rFonts w:ascii="Arial" w:cs="Arial" w:eastAsia="Arial" w:hAnsi="Arial"/>
          <w:sz w:val="18"/>
          <w:szCs w:val="18"/>
          <w:color w:val="auto"/>
        </w:rPr>
      </w:pPr>
    </w:p>
    <w:p>
      <w:pPr>
        <w:ind w:left="640" w:hanging="316"/>
        <w:spacing w:after="0" w:line="27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Industry</w:t>
      </w:r>
      <w:r>
        <w:rPr>
          <w:rFonts w:ascii="Arial" w:cs="Arial" w:eastAsia="Arial" w:hAnsi="Arial"/>
          <w:sz w:val="18"/>
          <w:szCs w:val="18"/>
          <w:color w:val="auto"/>
        </w:rPr>
        <w:t>: Our merchants represent diversified online sellers in various industries as well as categories such as sporting goods, furniture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homewares, travel, apparel, accessories, consumer electronics, and jewelry.</w:t>
      </w:r>
    </w:p>
    <w:p>
      <w:pPr>
        <w:spacing w:after="0" w:line="106" w:lineRule="exact"/>
        <w:rPr>
          <w:rFonts w:ascii="Arial" w:cs="Arial" w:eastAsia="Arial" w:hAnsi="Arial"/>
          <w:sz w:val="18"/>
          <w:szCs w:val="18"/>
          <w:color w:val="auto"/>
        </w:rPr>
      </w:pPr>
    </w:p>
    <w:p>
      <w:pPr>
        <w:ind w:left="640" w:right="940" w:hanging="316"/>
        <w:spacing w:after="0" w:line="27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Merchant Profile</w:t>
      </w:r>
      <w:r>
        <w:rPr>
          <w:rFonts w:ascii="Arial" w:cs="Arial" w:eastAsia="Arial" w:hAnsi="Arial"/>
          <w:sz w:val="18"/>
          <w:szCs w:val="18"/>
          <w:color w:val="auto"/>
        </w:rPr>
        <w:t>: Our merchants range from direct-to-consumer brands, online-only retailers, omnichannel retailers, online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marketplaces, and eCommerce service providers that bear the liability for disputed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89" w:right="359" w:bottom="1440" w:gutter="0" w:footer="0" w:header="0"/>
        </w:sectPr>
      </w:pPr>
    </w:p>
    <w:bookmarkStart w:id="58" w:name="page59"/>
    <w:bookmarkEnd w:id="58"/>
    <w:p>
      <w:pPr>
        <w:jc w:val="both"/>
        <w:ind w:left="640" w:right="220" w:hanging="316"/>
        <w:spacing w:after="0" w:line="261"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Geography</w:t>
      </w:r>
      <w:r>
        <w:rPr>
          <w:rFonts w:ascii="Arial" w:cs="Arial" w:eastAsia="Arial" w:hAnsi="Arial"/>
          <w:sz w:val="18"/>
          <w:szCs w:val="18"/>
          <w:color w:val="auto"/>
        </w:rPr>
        <w:t>: Our merchants are located in 36 countries based on the location of the merchant’s headquarters. Approximately 70% of</w:t>
      </w:r>
      <w:r>
        <w:rPr>
          <w:rFonts w:ascii="Arial" w:cs="Arial" w:eastAsia="Arial" w:hAnsi="Arial"/>
          <w:sz w:val="18"/>
          <w:szCs w:val="18"/>
          <w:b w:val="1"/>
          <w:bCs w:val="1"/>
          <w:color w:val="auto"/>
        </w:rPr>
        <w:t xml:space="preserve"> </w:t>
      </w:r>
      <w:r>
        <w:rPr>
          <w:rFonts w:ascii="Arial" w:cs="Arial" w:eastAsia="Arial" w:hAnsi="Arial"/>
          <w:sz w:val="18"/>
          <w:szCs w:val="18"/>
          <w:color w:val="auto"/>
        </w:rPr>
        <w:t>our Billings for the year ended December 31, 2021 were derived from US-based accounts. Our Billings in Asia-Pacific nearly doubled year-over-year in 2021.</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Billings by Industry and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5233035" cy="1758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3303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80" w:firstLine="318"/>
        <w:spacing w:after="0" w:line="248" w:lineRule="auto"/>
        <w:rPr>
          <w:sz w:val="20"/>
          <w:szCs w:val="20"/>
          <w:color w:val="auto"/>
        </w:rPr>
      </w:pPr>
      <w:r>
        <w:rPr>
          <w:rFonts w:ascii="Arial" w:cs="Arial" w:eastAsia="Arial" w:hAnsi="Arial"/>
          <w:sz w:val="18"/>
          <w:szCs w:val="18"/>
          <w:color w:val="auto"/>
        </w:rPr>
        <w:t>For the year ended December 31, 2021, merchants integrated on our eCommerce risk management platform generated a total GMV of $89.1 billion, up from $63.4 billion GMV for the year ended December 31, 2020. Our network is made up of hundreds of preeminent retailers including 3 of the world's 10 largest eCommerce merchants.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Go-to-Market Strategy</w:t>
      </w:r>
    </w:p>
    <w:p>
      <w:pPr>
        <w:spacing w:after="0" w:line="186" w:lineRule="exact"/>
        <w:rPr>
          <w:sz w:val="20"/>
          <w:szCs w:val="20"/>
          <w:color w:val="auto"/>
        </w:rPr>
      </w:pPr>
    </w:p>
    <w:p>
      <w:pPr>
        <w:ind w:right="480" w:firstLine="318"/>
        <w:spacing w:after="0" w:line="248" w:lineRule="auto"/>
        <w:rPr>
          <w:sz w:val="20"/>
          <w:szCs w:val="20"/>
          <w:color w:val="auto"/>
        </w:rPr>
      </w:pPr>
      <w:r>
        <w:rPr>
          <w:rFonts w:ascii="Arial" w:cs="Arial" w:eastAsia="Arial" w:hAnsi="Arial"/>
          <w:sz w:val="18"/>
          <w:szCs w:val="18"/>
          <w:color w:val="auto"/>
        </w:rPr>
        <w:t>We market our eCommerce risk management platform directly to online merchants primarily through our enterprise sales team, with a strong focus on long-term customer value. Our seasoned direct sales team is highly skilled in identifying online merchant pain points, demonstrating our value-add and providing dedicated support to address the online merchants’ needs.</w:t>
      </w:r>
    </w:p>
    <w:p>
      <w:pPr>
        <w:spacing w:after="0" w:line="15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Some merchants prefer the flexibility to start their relationship with us by submitting only a portion of their order volumes to us. We welcome this approach and have successfully implemented a “Land and Expand” strategy, where we create long-term partnerships that result in strong retention and revenue that is recurring in nature. As we gain our merchant’s trust, we are able to increase the volume they send to us and the value we provide.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 xml:space="preserve">We experience seasonal fluctuations in our revenue as a result of consumer spending patterns. Historically, our revenue has been strongest during the fourth quarter of our fiscal year due to increases in retail commerce during the holiday season. See "Item 5.A. </w:t>
      </w:r>
      <w:r>
        <w:rPr>
          <w:rFonts w:ascii="Arial" w:cs="Arial" w:eastAsia="Arial" w:hAnsi="Arial"/>
          <w:sz w:val="18"/>
          <w:szCs w:val="18"/>
          <w:i w:val="1"/>
          <w:iCs w:val="1"/>
          <w:color w:val="auto"/>
        </w:rPr>
        <w:t>Operating Results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Affecting our Performance — Revenue Seasonality” </w:t>
      </w:r>
      <w:r>
        <w:rPr>
          <w:rFonts w:ascii="Arial" w:cs="Arial" w:eastAsia="Arial" w:hAnsi="Arial"/>
          <w:sz w:val="18"/>
          <w:szCs w:val="18"/>
          <w:color w:val="auto"/>
        </w:rPr>
        <w:t>for a description of the seasonality of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copyright, trademark and trade secret laws in the United States and in other jurisdictions, as well as confidentiality procedures and contractual obligations in contracts with employees, contractors and third parties, to establish and protect our intellectual property, including our proprietary technology, know-how and brand. We have chosen not to register any copyrights and we do not currently have any patents or pending patent applications, and instead rely primarily on trade secret protection to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89" w:right="359" w:bottom="1440" w:gutter="0" w:footer="0" w:header="0"/>
        </w:sectPr>
      </w:pPr>
    </w:p>
    <w:bookmarkStart w:id="59" w:name="page60"/>
    <w:bookmarkEnd w:id="59"/>
    <w:p>
      <w:pPr>
        <w:jc w:val="both"/>
        <w:ind w:right="120"/>
        <w:spacing w:after="0" w:line="248" w:lineRule="auto"/>
        <w:rPr>
          <w:sz w:val="20"/>
          <w:szCs w:val="20"/>
          <w:color w:val="auto"/>
        </w:rPr>
      </w:pPr>
      <w:r>
        <w:rPr>
          <w:rFonts w:ascii="Arial" w:cs="Arial" w:eastAsia="Arial" w:hAnsi="Arial"/>
          <w:sz w:val="18"/>
          <w:szCs w:val="18"/>
          <w:color w:val="auto"/>
        </w:rPr>
        <w:t>software. Further, while we believe intellectual property is important, we believe that factors such as the technological and creative skills of our personnel, creation of new features and functionality, and frequent enhancements to our models, features and proprietary technology are more essential to establishing and maintaining our technology leadership position.</w:t>
      </w:r>
    </w:p>
    <w:p>
      <w:pPr>
        <w:spacing w:after="0" w:line="153" w:lineRule="exact"/>
        <w:rPr>
          <w:sz w:val="20"/>
          <w:szCs w:val="20"/>
          <w:color w:val="auto"/>
        </w:rPr>
      </w:pPr>
    </w:p>
    <w:p>
      <w:pPr>
        <w:ind w:right="120" w:firstLine="318"/>
        <w:spacing w:after="0" w:line="266" w:lineRule="auto"/>
        <w:rPr>
          <w:sz w:val="20"/>
          <w:szCs w:val="20"/>
          <w:color w:val="auto"/>
        </w:rPr>
      </w:pPr>
      <w:r>
        <w:rPr>
          <w:rFonts w:ascii="Arial" w:cs="Arial" w:eastAsia="Arial" w:hAnsi="Arial"/>
          <w:sz w:val="17"/>
          <w:szCs w:val="17"/>
          <w:color w:val="auto"/>
        </w:rPr>
        <w:t>The Riskified brand is central to our business strategy, and we believe that maintaining, protecting and enhancing the Riskified brand is important to expanding our business. As of December 31, 2021, we held four registered trademarks in the United States and thirty-four registered trademarks in foreign jurisdictions, including registrations of RISKIFIED, Deco, Deco Payments, eConfidence and the Riskified logo. As of December 31, 2021, we had applied for four additional trademark registrations in the United States and eighteen in foreign jurisdictions.</w:t>
      </w:r>
    </w:p>
    <w:p>
      <w:pPr>
        <w:spacing w:after="0" w:line="140"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Despite our efforts to protect our proprietary rights, competitors or other unauthorized parties may attempt to misappropriate our technology or may independently develop similar technologies, and we may not be able to prevent competitors from selling products incorporating those technologies. For more information regarding the risks relating to intellectual property, see “Risk Factors—Risks Relating to Our Business and Industry — Any failure to protect our intellectual property rights could impair our ability to protect our proprietary technology and our brand.”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As with any company operating in our field,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 ambiguity includes laws and regulations possibly affecting our business, such as those related to data privacy and security, pricing, taxation, intellectual property ownership and infringement, anti-money laundering, anti-corruption, product liability, consumer protection, financing, payment authentication, point-of-sale lending, machine learning, economic and financial sanctions, trade embargoes, and export control. Changes to such laws and regulations could cause us or third-party partners on which we rely to incur additional costs and change our or their respective business practices in order to comply. See “—Data Protection and Privacy” and “—Anti-Corruption and Sanctions” for further discussion related to the impact of government regulation on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186"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We are subject to laws across several jurisdictions regarding privacy and protection of data. Laws and regulations related to data protection, privacy, cybersecurity, consumer protection, financing, payment authentication, point-of-sale lending, and other laws and regulations can be very stringent and vary from jurisdiction to jurisdiction. These laws govern how companies collect, process, and share data, grant rights to data subjects, and require that companies implement specific information security controls to protect certain types of information.</w:t>
      </w:r>
    </w:p>
    <w:p>
      <w:pPr>
        <w:spacing w:after="0" w:line="140"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For example, we are subject to the PPL, and the more recent Data Security Regulations, which imposes obligations on how personal data is processed, maintained, transferred, disclosed, accessed and secured. The regulations may require us to adjust our data protection and data security practices, information security measures, certain organizational procedures, applicable positions (such as an information security manager) and other technical and organizational security measures. In addition, to the extent that any administrative supervision procedure is initiated by the Israeli Privacy Protection Authority that reveals certain irregularities with respect to our compliance with the Privacy Protection Act, in addition to our exposure to administrative fines, civil claims (including class actions) and in certain cases criminal liability, we may also need to take certain remedial actions to rectify such irregularities, which may increase our costs.</w:t>
      </w:r>
    </w:p>
    <w:p>
      <w:pPr>
        <w:spacing w:after="0" w:line="158"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We are also subject to the GDPR and the UK GDPR, as well as national legislation supplementing the GDPR and the UK GDPR. The GDPR implements stringent operational requirements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0" w:name="page61"/>
    <w:bookmarkEnd w:id="60"/>
    <w:p>
      <w:pPr>
        <w:ind w:right="140"/>
        <w:spacing w:after="0" w:line="246" w:lineRule="auto"/>
        <w:rPr>
          <w:sz w:val="20"/>
          <w:szCs w:val="20"/>
          <w:color w:val="auto"/>
        </w:rPr>
      </w:pPr>
      <w:r>
        <w:rPr>
          <w:rFonts w:ascii="Arial" w:cs="Arial" w:eastAsia="Arial" w:hAnsi="Arial"/>
          <w:sz w:val="18"/>
          <w:szCs w:val="18"/>
          <w:color w:val="auto"/>
        </w:rPr>
        <w:t>among others, data use, sharing and processing, data breach notifications, data subject rights and cross- border data transfers for entities collecting and/or processing personal data of European Union residents and imposes significant penalties for non-compliance (up to EUR 20 million for the most serious breaches of the GDPR, or GBP 17.5 million in the case of the UK GDPR or up to 4% of the total worldwide annual turnover of the preceding financial year, whichever is higher). Further, following Brexit, data privacy laws in the UK may diverge from data privacy laws in the EEA. We may therefore be subject in the future to separate and additional data protection obligations to those that we are already subject to. This may result in substantial costs and may necessitate changes to our business practices, which in turn may compromise our growth strategy and otherwise adversely affect our business.</w:t>
      </w:r>
    </w:p>
    <w:p>
      <w:pPr>
        <w:spacing w:after="0" w:line="158"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are also subject to Lei Geral de Proteção de Dados, which imposes similar requirements to the GDPR on the collection and processing of data of Brazilian residents.</w:t>
      </w:r>
    </w:p>
    <w:p>
      <w:pPr>
        <w:spacing w:after="0" w:line="15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are also subject to the CCPA, which imposes heightened transparency obligations, creates new data privacy rights for California residents, and carries the potential for significant enforcement penalties for non-compliance as well as a private right of action for certain data breaches. We will also be subject to the CPRA, which was passed into law on November 3, 2020 but which will not take substantial effect until January 1, 2023. Similar laws coming into effect in U.S. states, adoption of a comprehensive U.S. federal data privacy law, and new legislation in international jurisdictions may continue to change the data protection landscape globally and could result in us expending considerable resources to meet these requirements. Additionally, the PIPL became effective on November 1, 2021. Notably, the PIPL, similar to the GDPR, applies extra-territorially and is intended to clarify the scope of application, the definitions of personal information and sensitive personal information (which includes medical and health information), the legality of personal information processing and the basic requirements of notice and consent, among other things.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personnel responsible for violations of the PIPL from holding high level management or data protection officer positions in relevant enterprises. See “Risk Factors—Risks Related to our Business and Industry—Changes in privacy laws, regulations, and standards and other regulations, including laws and regulations governing our collection, use, disclosure, retention, transfer or storage of personal information, including payment card data, and our actual or perceived failure to comply with such regulations may have an adverse effect on our revenues, our results of operations and financial condition.”</w:t>
      </w:r>
    </w:p>
    <w:p>
      <w:pPr>
        <w:spacing w:after="0" w:line="156"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Data protection regulators may seek jurisdiction over our activities in locations in which we process data or have users but do not have an operating entity. Where the local data protection and privacy laws of a jurisdiction apply, we may be required to register our operations in that jurisdiction or make changes to our business so that user data is only collected and processed in accordance with applicable local law. In addition, because our products are accessible from various jurisdictions,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 and Sanctions</w:t>
      </w:r>
    </w:p>
    <w:p>
      <w:pPr>
        <w:spacing w:after="0" w:line="186" w:lineRule="exact"/>
        <w:rPr>
          <w:sz w:val="20"/>
          <w:szCs w:val="20"/>
          <w:color w:val="auto"/>
        </w:rPr>
      </w:pPr>
    </w:p>
    <w:p>
      <w:pPr>
        <w:jc w:val="both"/>
        <w:ind w:right="280" w:firstLine="318"/>
        <w:spacing w:after="0" w:line="247" w:lineRule="auto"/>
        <w:rPr>
          <w:sz w:val="20"/>
          <w:szCs w:val="20"/>
          <w:color w:val="auto"/>
        </w:rPr>
      </w:pPr>
      <w:r>
        <w:rPr>
          <w:rFonts w:ascii="Arial" w:cs="Arial" w:eastAsia="Arial" w:hAnsi="Arial"/>
          <w:sz w:val="18"/>
          <w:szCs w:val="18"/>
          <w:color w:val="auto"/>
        </w:rPr>
        <w:t>We are subject to laws and regulations of the jurisdictions in which we operate, including the United States, United Kingdom, European Union and Israel, that govern or restrict our business and activities in certain countries and with certain persons, including the economic and financial sanctions and trade embargo regulations administered by the U.S. Treasury Department’s Office of Foreign Assets Control, and the export control laws administered by the U.S. Commerce Department’s Bureau of Industry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1" w:name="page62"/>
    <w:bookmarkEnd w:id="61"/>
    <w:p>
      <w:pPr>
        <w:ind w:right="40"/>
        <w:spacing w:after="0" w:line="247" w:lineRule="auto"/>
        <w:rPr>
          <w:sz w:val="20"/>
          <w:szCs w:val="20"/>
          <w:color w:val="auto"/>
        </w:rPr>
      </w:pPr>
      <w:r>
        <w:rPr>
          <w:rFonts w:ascii="Arial" w:cs="Arial" w:eastAsia="Arial" w:hAnsi="Arial"/>
          <w:sz w:val="18"/>
          <w:szCs w:val="18"/>
          <w:color w:val="auto"/>
        </w:rPr>
        <w:t>Security and the U.S. State Department’s Directorate of Defense Trade Controls. See “Risk Factors— Risks Related to our Business and Industry—Our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p>
    <w:p>
      <w:pPr>
        <w:spacing w:after="0" w:line="155"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Additionally, we are subject to anti-corruption, anti-bribery, anti-money laundering and similar laws imposed by governments around the world with jurisdiction over our operations, which may include, among others, the FCPA, the U.S. domestic bribery statute contained in 18 U.S.C. 201, the U.S. Travel Act, the USA PATRIOT Act, the U.K. Bribery Act 2010, Chapter 9 (sub-chapter 5) of the Israeli Penal Law, 5737-1977, the Israeli Prohibition on Money Laundering Law, 5760-2000 and other applicable laws in the jurisdictions in which we operate. Historically, technology companies have been the target of FCPA and other anti-corruption investigations and penalties. See “Risk Factors— Risks Related to our Business and Industry—Our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Organizational Structure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legal name of our company is Riskified Ltd. and we are organized under the laws of the State of Israel.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subsidiaries are set forth in the table below. Each subsidiary is 100% owned directly by Riskified Ltd.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Name of Subsidiary</w:t>
            </w:r>
          </w:p>
        </w:tc>
        <w:tc>
          <w:tcPr>
            <w:tcW w:w="552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Place of Incorporation</w:t>
            </w:r>
          </w:p>
        </w:tc>
      </w:tr>
      <w:tr>
        <w:trPr>
          <w:trHeight w:val="218"/>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Riskified, Inc.</w:t>
            </w:r>
          </w:p>
        </w:tc>
        <w:tc>
          <w:tcPr>
            <w:tcW w:w="5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Delaware, USA</w:t>
            </w:r>
          </w:p>
        </w:tc>
      </w:tr>
      <w:tr>
        <w:trPr>
          <w:trHeight w:val="225"/>
        </w:trPr>
        <w:tc>
          <w:tcPr>
            <w:tcW w:w="5720" w:type="dxa"/>
            <w:vAlign w:val="bottom"/>
          </w:tcPr>
          <w:p>
            <w:pPr>
              <w:ind w:left="340"/>
              <w:spacing w:after="0"/>
              <w:rPr>
                <w:sz w:val="20"/>
                <w:szCs w:val="20"/>
                <w:color w:val="auto"/>
              </w:rPr>
            </w:pPr>
            <w:r>
              <w:rPr>
                <w:rFonts w:ascii="Arial" w:cs="Arial" w:eastAsia="Arial" w:hAnsi="Arial"/>
                <w:sz w:val="18"/>
                <w:szCs w:val="18"/>
                <w:color w:val="auto"/>
              </w:rPr>
              <w:t>Riskified (Shanghai) Information Technology Co., Ltd</w:t>
            </w:r>
          </w:p>
        </w:tc>
        <w:tc>
          <w:tcPr>
            <w:tcW w:w="5520" w:type="dxa"/>
            <w:vAlign w:val="bottom"/>
          </w:tcPr>
          <w:p>
            <w:pPr>
              <w:ind w:left="1240"/>
              <w:spacing w:after="0"/>
              <w:rPr>
                <w:sz w:val="20"/>
                <w:szCs w:val="20"/>
                <w:color w:val="auto"/>
              </w:rPr>
            </w:pPr>
            <w:r>
              <w:rPr>
                <w:rFonts w:ascii="Arial" w:cs="Arial" w:eastAsia="Arial" w:hAnsi="Arial"/>
                <w:sz w:val="18"/>
                <w:szCs w:val="18"/>
                <w:color w:val="auto"/>
              </w:rPr>
              <w:t>Shanghai, People’s Republic of China</w:t>
            </w:r>
          </w:p>
        </w:tc>
      </w:tr>
      <w:tr>
        <w:trPr>
          <w:trHeight w:val="226"/>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Riskified (UK) Ltd.</w:t>
            </w:r>
          </w:p>
        </w:tc>
        <w:tc>
          <w:tcPr>
            <w:tcW w:w="5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England &amp; Wales</w:t>
            </w:r>
          </w:p>
        </w:tc>
      </w:tr>
      <w:tr>
        <w:trPr>
          <w:trHeight w:val="224"/>
        </w:trPr>
        <w:tc>
          <w:tcPr>
            <w:tcW w:w="5720" w:type="dxa"/>
            <w:vAlign w:val="bottom"/>
          </w:tcPr>
          <w:p>
            <w:pPr>
              <w:ind w:left="340"/>
              <w:spacing w:after="0"/>
              <w:rPr>
                <w:sz w:val="20"/>
                <w:szCs w:val="20"/>
                <w:color w:val="auto"/>
              </w:rPr>
            </w:pPr>
            <w:r>
              <w:rPr>
                <w:rFonts w:ascii="Arial" w:cs="Arial" w:eastAsia="Arial" w:hAnsi="Arial"/>
                <w:sz w:val="18"/>
                <w:szCs w:val="18"/>
                <w:color w:val="auto"/>
              </w:rPr>
              <w:t>Riskified (Australia) Pty Ltd.</w:t>
            </w:r>
          </w:p>
        </w:tc>
        <w:tc>
          <w:tcPr>
            <w:tcW w:w="5520" w:type="dxa"/>
            <w:vAlign w:val="bottom"/>
          </w:tcPr>
          <w:p>
            <w:pPr>
              <w:ind w:left="1240"/>
              <w:spacing w:after="0"/>
              <w:rPr>
                <w:sz w:val="20"/>
                <w:szCs w:val="20"/>
                <w:color w:val="auto"/>
              </w:rPr>
            </w:pPr>
            <w:r>
              <w:rPr>
                <w:rFonts w:ascii="Arial" w:cs="Arial" w:eastAsia="Arial" w:hAnsi="Arial"/>
                <w:sz w:val="18"/>
                <w:szCs w:val="18"/>
                <w:color w:val="auto"/>
              </w:rPr>
              <w:t>Victoria, Australia</w:t>
            </w:r>
          </w:p>
        </w:tc>
      </w:tr>
    </w:tbl>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 Property, Plants, and Equipment</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Our principal facilities are located in Tel Aviv in Israel and in New York City in the United States and consist of approximately 12,362 square meters (approximately 133,068 square feet) of leased office space, which includes a location in Tel Aviv where a lease agreement is signed but we have not moved in to the location as of December 31, 2021. See Item 5. “</w:t>
      </w:r>
      <w:r>
        <w:rPr>
          <w:rFonts w:ascii="Arial" w:cs="Arial" w:eastAsia="Arial" w:hAnsi="Arial"/>
          <w:sz w:val="18"/>
          <w:szCs w:val="18"/>
          <w:i w:val="1"/>
          <w:iCs w:val="1"/>
          <w:color w:val="auto"/>
        </w:rPr>
        <w:t>Operating and Financial Review and Prospects—Liquidity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 for a description of our material plans to construct, expand or improve facilities, including costs incurred during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w:t>
      </w:r>
    </w:p>
    <w:p>
      <w:pPr>
        <w:spacing w:after="0" w:line="154"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These facilities accommodate our principal executive offices, research and development, sales and marketing, design, business development, finance, information technology, and other administrative activities. The leases for these facilities in Tel Aviv and New York City expire in 2031 and 2029, respectively.</w:t>
      </w:r>
    </w:p>
    <w:p>
      <w:pPr>
        <w:spacing w:after="0" w:line="153"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also lease space in London, England, Shanghai, China and Melbourne, Australia. We intend to procure additional space as we continue to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2" w:name="page63"/>
    <w:bookmarkEnd w:id="62"/>
    <w:p>
      <w:pPr>
        <w:ind w:firstLine="318"/>
        <w:spacing w:after="0" w:line="251" w:lineRule="auto"/>
        <w:rPr>
          <w:sz w:val="20"/>
          <w:szCs w:val="20"/>
          <w:color w:val="auto"/>
        </w:rPr>
      </w:pPr>
      <w:r>
        <w:rPr>
          <w:rFonts w:ascii="Arial" w:cs="Arial" w:eastAsia="Arial" w:hAnsi="Arial"/>
          <w:sz w:val="18"/>
          <w:szCs w:val="18"/>
          <w:i w:val="1"/>
          <w:iCs w:val="1"/>
          <w:color w:val="auto"/>
        </w:rPr>
        <w:t>You should read the following discussion together with our consolidated financial statements and related notes included elsewhere in this Annual Report. The statements in this discussion regarding industry outlook, our expectations regarding our future performance, liquidity and capital resources and other non-historical statements are forward looking statements. These forward looking statements are subject to numerous risks, uncertainties and assumptions, including, but not limited to, the risks and uncertainties described in “Risk Factors” and “Special Note Regarding Forward Looking Statements.” Our actual results may differ materially from those contained in or implied by any forward looking statements.</w:t>
      </w:r>
    </w:p>
    <w:p>
      <w:pPr>
        <w:spacing w:after="0" w:line="132" w:lineRule="exact"/>
        <w:rPr>
          <w:sz w:val="20"/>
          <w:szCs w:val="20"/>
          <w:color w:val="auto"/>
        </w:rPr>
      </w:pPr>
    </w:p>
    <w:p>
      <w:pPr>
        <w:jc w:val="both"/>
        <w:ind w:right="460" w:firstLine="318"/>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Certain information called for by this Item 5, including a discussion of the year ended December 31, 2019 compared to the year ended December 31, 2020 has been reported previously in our </w:t>
      </w:r>
      <w:hyperlink r:id="rId77">
        <w:r>
          <w:rPr>
            <w:rFonts w:ascii="Arial" w:cs="Arial" w:eastAsia="Arial" w:hAnsi="Arial"/>
            <w:sz w:val="18"/>
            <w:szCs w:val="18"/>
            <w:i w:val="1"/>
            <w:iCs w:val="1"/>
            <w:u w:val="single" w:color="auto"/>
            <w:color w:val="0000FF"/>
          </w:rPr>
          <w:t>final prospectus filed pursuant to Rule 424b(4) on July 30, 2021</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under the section entitled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6"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Riskified empowers businesses to realize the full potential of eCommerce by making it safe, accessible, and frictionless. We have built a next-generation eCommerce risk management platform that allows online merchants to create trusted relationships with their consumers. Leveraging machine learning that benefits from a global merchant network, our platform identifies the individual behind each online interaction, helping merchants—our customers—eliminate risk and uncertainty from their business. We drive higher sales and reduce fraud and other operating costs for our merchants and strive to provide superior consumer experiences, as compared to our merchants’ performance prior to onboarding us.</w:t>
      </w:r>
    </w:p>
    <w:p>
      <w:pPr>
        <w:spacing w:after="0" w:line="158"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We believe legacy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 We believe the slow manual processes that some legacy fraud platforms depend on can also produce poor shopping experiences, and their outdated infrastructure may prevent merchants from adapting to fast-changing consumer preferences and fraud techniques.</w:t>
      </w:r>
    </w:p>
    <w:p>
      <w:pPr>
        <w:spacing w:after="0" w:line="154"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Our eCommerce risk management platform is built to solve these problems with proprietary machine learning models that drive an automated decisioning engine. We have designed our platform to be fast, accurate, scalable, and cost-effective. It supports our core chargeback guarantee product—which optimizes merchant approval rates—as well as other products that mitigate similar eCommerce risks for those same merchants.</w:t>
      </w:r>
    </w:p>
    <w:p>
      <w:pPr>
        <w:spacing w:after="0" w:line="155" w:lineRule="exact"/>
        <w:rPr>
          <w:sz w:val="20"/>
          <w:szCs w:val="20"/>
          <w:color w:val="auto"/>
        </w:rPr>
      </w:pPr>
    </w:p>
    <w:p>
      <w:pPr>
        <w:ind w:right="740" w:firstLine="318"/>
        <w:spacing w:after="0" w:line="251" w:lineRule="auto"/>
        <w:rPr>
          <w:sz w:val="20"/>
          <w:szCs w:val="20"/>
          <w:color w:val="auto"/>
        </w:rPr>
      </w:pPr>
      <w:r>
        <w:rPr>
          <w:rFonts w:ascii="Arial" w:cs="Arial" w:eastAsia="Arial" w:hAnsi="Arial"/>
          <w:sz w:val="18"/>
          <w:szCs w:val="18"/>
          <w:color w:val="auto"/>
        </w:rPr>
        <w:t xml:space="preserve">All of our products are designed to generate additional revenue or cost savings for merchants, while improving the online shopping experience for their consumers. See Item 4.B. </w:t>
      </w:r>
      <w:r>
        <w:rPr>
          <w:rFonts w:ascii="Arial" w:cs="Arial" w:eastAsia="Arial" w:hAnsi="Arial"/>
          <w:sz w:val="18"/>
          <w:szCs w:val="18"/>
          <w:i w:val="1"/>
          <w:iCs w:val="1"/>
          <w:color w:val="auto"/>
        </w:rPr>
        <w:t>“Business Overview”</w:t>
      </w:r>
      <w:r>
        <w:rPr>
          <w:rFonts w:ascii="Arial" w:cs="Arial" w:eastAsia="Arial" w:hAnsi="Arial"/>
          <w:sz w:val="18"/>
          <w:szCs w:val="18"/>
          <w:color w:val="auto"/>
        </w:rPr>
        <w:t xml:space="preserve"> for further information on our products.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Fundamentally, our business model aligns our interests with our merchants’ interests—we win when they win. We charge our merchants a percentage of every dollar of GMV that we approve, so our incentive is to approve as many orders as we safely can on the merchant’s behalf. We believe that this merchant-centric approach, coupled with our rigorous decisioning process, maximizes our financial results and those of our merchants.</w:t>
      </w:r>
    </w:p>
    <w:p>
      <w:pPr>
        <w:spacing w:after="0" w:line="155"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fee we charge our merchants is a risk-adjusted price, which is expressed as a percentage of the GMV dollars that we approve. This fee, which is established at contract inception, varies by merchant based on a variety of inputs, including the type of merchant, the risk level of the end market, the percentage of GMV we review from the merchant and the guaranteed approval rates we agree to provide. When our merchants ask us to review transactions from end markets that carry higher risk, we may charge higher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63" w:name="page64"/>
    <w:bookmarkEnd w:id="63"/>
    <w:p>
      <w:pPr>
        <w:jc w:val="both"/>
        <w:ind w:right="160" w:firstLine="318"/>
        <w:spacing w:after="0" w:line="248" w:lineRule="auto"/>
        <w:rPr>
          <w:sz w:val="20"/>
          <w:szCs w:val="20"/>
          <w:color w:val="auto"/>
        </w:rPr>
      </w:pPr>
      <w:r>
        <w:rPr>
          <w:rFonts w:ascii="Arial" w:cs="Arial" w:eastAsia="Arial" w:hAnsi="Arial"/>
          <w:sz w:val="18"/>
          <w:szCs w:val="18"/>
          <w:color w:val="auto"/>
        </w:rPr>
        <w:t>If an approved transaction that we guaranteed results in an eligible chargeback, we will reimburse the merchant for the amount of the lost sale. In this situation, we record a chargeback guarantee expense in cost of revenue and typically provide the payment to the merchant in the form of credits on future invoices.</w:t>
      </w:r>
    </w:p>
    <w:p>
      <w:pPr>
        <w:spacing w:after="0" w:line="153"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have established strict processes that allow us to manage our overall chargeback exposure and control chargeback expenses within predetermined budget levels. We do this primarily by controlling the transactions we approve and assessing the cost-benefit of our approvals. Our models are trained on a large and diverse population of historical chargeback transactions accumulated since our founding. Combined with the short-term duration of our chargeback portfolio, the dynamic feedback loops in our business model ensure our training sets are constantly updated, thereby increasing the accuracy of our eCommerce risk management platform. We supplement our models with offline tools that quickly detect different types of anomalies and gaps in our models. We also adjust our approval rates in real time as we detect riskier order populations. Finally, our chargeback expenses become less volatile over time as we scale. As of December 31, 2021, our portfolio of potential chargeback liabilities was diversified across a number of industries, hundreds of merchants and millions of individual transactions.</w:t>
      </w:r>
    </w:p>
    <w:p>
      <w:pPr>
        <w:spacing w:after="0" w:line="141"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Using our proprietary eCommerce risk management platform, data assets, and scaled merchant network, we are able to control the chargeback expenses we incur as evidenced by our ability to maintain our CTB Ratio at approximately 37% for the past two years. We use the annual CTB Ratio to evaluate the performance of our business operations and the effectiveness of our model. Our CTB Ratio may fluctuate in future periods due to a number of factors, including changes in the mix of our merchant industry base, the risk profile of orders approved in the period, and technological improvements in the performance of our models.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our future performance will depend on many factors, including the following:</w:t>
      </w:r>
    </w:p>
    <w:p>
      <w:pPr>
        <w:spacing w:after="0" w:line="142" w:lineRule="exact"/>
        <w:rPr>
          <w:sz w:val="20"/>
          <w:szCs w:val="20"/>
          <w:color w:val="auto"/>
        </w:rPr>
      </w:pPr>
    </w:p>
    <w:p>
      <w:pPr>
        <w:ind w:left="640" w:right="20" w:hanging="316"/>
        <w:spacing w:after="0" w:line="248"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growth in eCommerce: </w:t>
      </w:r>
      <w:r>
        <w:rPr>
          <w:rFonts w:ascii="Arial" w:cs="Arial" w:eastAsia="Arial" w:hAnsi="Arial"/>
          <w:sz w:val="18"/>
          <w:szCs w:val="18"/>
          <w:color w:val="auto"/>
        </w:rPr>
        <w:t>We expect to benefit from growth in global eCommerce, fueled by the expansion of omnichannel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commerce, as well as higher eCommerce penetration rates accelerated by the lasting effects of COVID-19. The global pandemic resulting from the spread of COVID-19 increased eCommerce volumes, a trend that has had a net positive impact on our business. Lockdown restrictions contributed to an increased shift of consumers to online shopping. As economies reopen, consumers may shift their spending from online to physical stores, which may negatively impact our growth rates. Our eCommerce risk management platform has remained active, with no material outages or service disruptions; in fact, since January 1, 2019 we have maintained an uptime in excess of 99.99%. While we cannot estimate the duration or scope of the crisis, or the potential effect it may have on our operations, we anticipate that our business will be positively affected by the lasting impact of COVID-19 on physical stores and consumer preferences and the resulting increase in eCommerce sales. Volatility in global travel and events reopening may lead to fluctuations in revenue from merchants in these industries in the near-term, but we believe we are well-positioned to continue to benefit from the broad macroeconomic shift to eCommerce that COVID-19 has accelerated. Moreover, the continued rise in volume and complexity of fraud attacks threatening eCommerce, coupled with the difficulty merchants have with identifying, preventing, and mitigating these attacks, heightens the need for third-party solutions with the relevant expertise and infrastructure, such as our products. We believe that we are well-positioned to capitalize on these tailwinds.</w:t>
      </w:r>
    </w:p>
    <w:p>
      <w:pPr>
        <w:spacing w:after="0" w:line="132" w:lineRule="exact"/>
        <w:rPr>
          <w:rFonts w:ascii="Arial" w:cs="Arial" w:eastAsia="Arial" w:hAnsi="Arial"/>
          <w:sz w:val="18"/>
          <w:szCs w:val="18"/>
          <w:color w:val="auto"/>
        </w:rPr>
      </w:pPr>
    </w:p>
    <w:p>
      <w:pPr>
        <w:ind w:left="640" w:right="40" w:hanging="316"/>
        <w:spacing w:after="0" w:line="253"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Our ability to retain and grow with existing merchants</w:t>
      </w:r>
      <w:r>
        <w:rPr>
          <w:rFonts w:ascii="Arial" w:cs="Arial" w:eastAsia="Arial" w:hAnsi="Arial"/>
          <w:sz w:val="18"/>
          <w:szCs w:val="18"/>
          <w:color w:val="auto"/>
        </w:rPr>
        <w:t>: We succeed when the merchants we serve succeed. As they expand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we benefit from the increase in revenues. Our commitment to their success, we believe, increases retention and likelihood of expanding their activity on our eCommerce risk management platform. Supporting our merchants begins with enhancing both the consumer and the merchant experience; as such, we focus our efforts on developing products and functionality to ease the complexity they face when engaging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64" w:name="page65"/>
    <w:bookmarkEnd w:id="64"/>
    <w:p>
      <w:pPr>
        <w:ind w:left="320" w:right="80"/>
        <w:spacing w:after="0" w:line="247" w:lineRule="auto"/>
        <w:rPr>
          <w:sz w:val="20"/>
          <w:szCs w:val="20"/>
          <w:color w:val="auto"/>
        </w:rPr>
      </w:pPr>
      <w:r>
        <w:rPr>
          <w:rFonts w:ascii="Arial" w:cs="Arial" w:eastAsia="Arial" w:hAnsi="Arial"/>
          <w:sz w:val="18"/>
          <w:szCs w:val="18"/>
          <w:color w:val="auto"/>
        </w:rPr>
        <w:t>eCommerce. We strive to create seamless experiences for consumers, focusing on minimizing the friction points in their payment journeys. For merchants, we bestow peace of mind and certainty associated with each transaction we review. Our effectiveness in retaining and expanding our existing merchants’ sales, and reducing their fraud rates is a critical component of our revenue growth and operating results.</w:t>
      </w:r>
    </w:p>
    <w:p>
      <w:pPr>
        <w:spacing w:after="0" w:line="133" w:lineRule="exact"/>
        <w:rPr>
          <w:sz w:val="20"/>
          <w:szCs w:val="20"/>
          <w:color w:val="auto"/>
        </w:rPr>
      </w:pPr>
    </w:p>
    <w:p>
      <w:pPr>
        <w:ind w:left="320" w:right="40" w:hanging="316"/>
        <w:spacing w:after="0" w:line="268" w:lineRule="auto"/>
        <w:tabs>
          <w:tab w:leader="none" w:pos="315"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Generating incremental GMV to our eCommerce risk management platform from new merchants</w:t>
      </w:r>
      <w:r>
        <w:rPr>
          <w:rFonts w:ascii="Arial" w:cs="Arial" w:eastAsia="Arial" w:hAnsi="Arial"/>
          <w:sz w:val="17"/>
          <w:szCs w:val="17"/>
          <w:color w:val="auto"/>
        </w:rPr>
        <w:t>: Acquisition of new merchants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an important component of our growth as we continue to become less dependent on select merchants’ performance. From 2020 to 2021, we increased total GMV by $25.7 billion from $63.4 billion to $89.1 billion and decreased our merchant concentration. Our GMV, as compared to global eCommerce GMV calculated by eMarketer, accounted for less than 2% of global eCommerce GMV for the year ended December 31, 2021, leaving significant room for our merchant network to continue to grow. According to management calculations based on data from eMarketer, our growth more than doubled the overall growth in the eCommerce industry over the same period. Continuing to add merchants and their GMV to our platform is a key component of our ability to grow our revenue.</w:t>
      </w:r>
    </w:p>
    <w:p>
      <w:pPr>
        <w:spacing w:after="0" w:line="115" w:lineRule="exact"/>
        <w:rPr>
          <w:rFonts w:ascii="Arial" w:cs="Arial" w:eastAsia="Arial" w:hAnsi="Arial"/>
          <w:sz w:val="17"/>
          <w:szCs w:val="17"/>
          <w:color w:val="auto"/>
        </w:rPr>
      </w:pPr>
    </w:p>
    <w:p>
      <w:pPr>
        <w:ind w:left="320" w:right="140" w:hanging="316"/>
        <w:spacing w:after="0" w:line="252"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Revenue seasonality</w:t>
      </w:r>
      <w:r>
        <w:rPr>
          <w:rFonts w:ascii="Arial" w:cs="Arial" w:eastAsia="Arial" w:hAnsi="Arial"/>
          <w:sz w:val="18"/>
          <w:szCs w:val="18"/>
          <w:color w:val="auto"/>
        </w:rPr>
        <w:t>: Our revenue is correlated with the level of GMV that our merchants process through our eCommerce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platform. Our merchants typically generate the most GMV in the calendar fourth quarter, which includes Black Friday, Cyber Monday, the holiday season, and other peak events included in the eCommerce calendar, such as Chinese Singles’ Day and Thanksgiving. Our gross profit follows a similar trend. For the years ended December 31, 2021 and 2020, the calendar fourth quarter represented our highest gross profit quarter with approximately 30% and 34%, respectively, of our total revenue earned in this quarter. We believe that similar seasonality trends will continue to affect our future quarterly performance.</w:t>
      </w:r>
    </w:p>
    <w:p>
      <w:pPr>
        <w:spacing w:after="0" w:line="126" w:lineRule="exact"/>
        <w:rPr>
          <w:rFonts w:ascii="Arial" w:cs="Arial" w:eastAsia="Arial" w:hAnsi="Arial"/>
          <w:sz w:val="18"/>
          <w:szCs w:val="18"/>
          <w:color w:val="auto"/>
        </w:rPr>
      </w:pPr>
    </w:p>
    <w:p>
      <w:pPr>
        <w:ind w:left="320" w:hanging="316"/>
        <w:spacing w:after="0" w:line="250"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Maintaining and extending our technology leadership</w:t>
      </w:r>
      <w:r>
        <w:rPr>
          <w:rFonts w:ascii="Arial" w:cs="Arial" w:eastAsia="Arial" w:hAnsi="Arial"/>
          <w:sz w:val="18"/>
          <w:szCs w:val="18"/>
          <w:color w:val="auto"/>
        </w:rPr>
        <w:t>: We intend to continue to enhance our eCommerce risk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by developing new products, features, and functionality to maintain our technology leadership. The complexity of our merchant needs requires us to create exceptionally deep technology integrations across a variety of systems, including their front end eCommerce site, backend systems, order management and shipping systems, and payment systems. As a result of our deep integration with merchant systems, we believe we have richer data than payments companies and large financial institutions. The depth of this data is part of our competitive differentiation and allows us to deliver our strong return on investment for merchants. Collecting and analyzing relevant data across our merchant network allows us to identify complex transaction and behavior patterns that we use to continuously train our machine learning models.</w:t>
      </w:r>
    </w:p>
    <w:p>
      <w:pPr>
        <w:spacing w:after="0" w:line="130" w:lineRule="exact"/>
        <w:rPr>
          <w:rFonts w:ascii="Arial" w:cs="Arial" w:eastAsia="Arial" w:hAnsi="Arial"/>
          <w:sz w:val="18"/>
          <w:szCs w:val="18"/>
          <w:color w:val="auto"/>
        </w:rPr>
      </w:pPr>
    </w:p>
    <w:p>
      <w:pPr>
        <w:ind w:left="320" w:right="20" w:hanging="316"/>
        <w:spacing w:after="0" w:line="248"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PSD2</w:t>
      </w:r>
      <w:r>
        <w:rPr>
          <w:rFonts w:ascii="Arial" w:cs="Arial" w:eastAsia="Arial" w:hAnsi="Arial"/>
          <w:sz w:val="18"/>
          <w:szCs w:val="18"/>
          <w:color w:val="auto"/>
        </w:rPr>
        <w:t>: The PSD2 regulation imposes new standards for payment security and shifts the liability for online payment fraud for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types of transactions involving European issuing banks further towards issuing banks and away from online merchants. This impacts the demand for our chargeback guarantee product since this offering protects our existing customers from fraud related chargebacks that they may no longer be liable for. Billings generated from transactions with European consumers constituted approximately 15% of our Billings for the years ended December 31, 2021 and 2020. Despite existing merchants rerouting portions of their GMV to 3DS as required by PSD2, the increase in GMV from European travel merchants offset this decline. Absent additional changes in the composition of our Billings, we expect that the percentage of our GMV attributable to European consumers will decline as compared to periods prior to PSD2. Based on the information available to us, we believe that transactions with European consumers are indicative of transactions originating with European issuing banks, which may be subject to the SCA requirements of PSD2 if relevant additional criteria are also fulfilled. Consumer location is determined by the IP address of the consumer. If an IP address is unavailable, location is determined by shipping address, then bank identification number, then billing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159385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411" w:right="339" w:bottom="1440" w:gutter="0" w:footer="0" w:header="0"/>
        </w:sectPr>
      </w:pPr>
    </w:p>
    <w:bookmarkStart w:id="65" w:name="page66"/>
    <w:bookmarkEnd w:id="65"/>
    <w:p>
      <w:pPr>
        <w:ind w:left="640" w:right="80"/>
        <w:spacing w:after="0" w:line="265" w:lineRule="auto"/>
        <w:rPr>
          <w:sz w:val="20"/>
          <w:szCs w:val="20"/>
          <w:color w:val="auto"/>
        </w:rPr>
      </w:pPr>
      <w:r>
        <w:rPr>
          <w:rFonts w:ascii="Arial" w:cs="Arial" w:eastAsia="Arial" w:hAnsi="Arial"/>
          <w:sz w:val="17"/>
          <w:szCs w:val="17"/>
          <w:color w:val="auto"/>
        </w:rPr>
        <w:t>See Item 3.D. “Risk Factors—Risks Related to our Business and Industry—We are dependent upon the continued use of credit cards and other payment methods that expose our merchant to the risk of payment fraud as a primary means of payment for eCommerce transactions. Changes in laws and regulations related to use of these types of payment methods, including card scheme rules and PSD2, or the general public’s use of such payment methods has, and may in the future continue to reduce or change the use cases for our products, and has and could continue to adversely affect our revenues, our results of operations and financial condition.”</w:t>
      </w:r>
    </w:p>
    <w:p>
      <w:pPr>
        <w:spacing w:after="0" w:line="118" w:lineRule="exact"/>
        <w:rPr>
          <w:sz w:val="20"/>
          <w:szCs w:val="20"/>
          <w:color w:val="auto"/>
        </w:rPr>
      </w:pPr>
    </w:p>
    <w:p>
      <w:pPr>
        <w:ind w:left="640" w:hanging="316"/>
        <w:spacing w:after="0" w:line="252"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Supply Chain: </w:t>
      </w:r>
      <w:r>
        <w:rPr>
          <w:rFonts w:ascii="Arial" w:cs="Arial" w:eastAsia="Arial" w:hAnsi="Arial"/>
          <w:sz w:val="18"/>
          <w:szCs w:val="18"/>
          <w:color w:val="auto"/>
        </w:rPr>
        <w:t>Global supply chain disruptions in the second half of 2021 impacted the availability of raw products and resulted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prolonged shipping and delivery times for consumer goods across a variety of industries. This in turn led to decreased eCommerce transaction volumes as consumers instead opt to purchase stock-on-hand from bricks-and-mortar retailers, rather than transact through digital channels. While we do not expect that supply-chain issues to persist in the long-term, any reduction in our merchants’ transaction volume directly impacts the fees we receive from them and, if such reduction continues for a prolonged period, would negatively impact our financial performance.</w:t>
      </w:r>
    </w:p>
    <w:p>
      <w:pPr>
        <w:spacing w:after="0" w:line="149" w:lineRule="exact"/>
        <w:rPr>
          <w:sz w:val="20"/>
          <w:szCs w:val="20"/>
          <w:color w:val="auto"/>
        </w:rPr>
      </w:pPr>
    </w:p>
    <w:p>
      <w:pPr>
        <w:ind w:right="600" w:firstLine="318"/>
        <w:spacing w:after="0" w:line="251" w:lineRule="auto"/>
        <w:rPr>
          <w:sz w:val="20"/>
          <w:szCs w:val="20"/>
          <w:color w:val="auto"/>
        </w:rPr>
      </w:pPr>
      <w:r>
        <w:rPr>
          <w:rFonts w:ascii="Arial" w:cs="Arial" w:eastAsia="Arial" w:hAnsi="Arial"/>
          <w:sz w:val="18"/>
          <w:szCs w:val="18"/>
          <w:color w:val="auto"/>
        </w:rPr>
        <w:t>We anticipate that the aforementioned factors coupled with industry mix shifts in the composition of our revenues and investments in infrastructure optimization will lead to decreases in our adjusted gross profit margin for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Metrics</w:t>
      </w:r>
    </w:p>
    <w:p>
      <w:pPr>
        <w:spacing w:after="0" w:line="186"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addition to traditional financial metrics, we use the following key performance indicators and non-GAAP metrics to evaluate our business, measure our performance, identify trends affecting our business, formulate financial projections, and make strategic decisions. Increases or decreases in our key performance indicators may not correspond with increases or decreases in our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9"/>
        </w:trPr>
        <w:tc>
          <w:tcPr>
            <w:tcW w:w="6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39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179"/>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40" w:type="dxa"/>
            <w:vAlign w:val="bottom"/>
            <w:gridSpan w:val="5"/>
          </w:tcPr>
          <w:p>
            <w:pPr>
              <w:jc w:val="center"/>
              <w:ind w:right="315"/>
              <w:spacing w:after="0"/>
              <w:rPr>
                <w:sz w:val="20"/>
                <w:szCs w:val="20"/>
                <w:color w:val="auto"/>
              </w:rPr>
            </w:pPr>
            <w:r>
              <w:rPr>
                <w:rFonts w:ascii="Arial" w:cs="Arial" w:eastAsia="Arial" w:hAnsi="Arial"/>
                <w:sz w:val="14"/>
                <w:szCs w:val="14"/>
                <w:b w:val="1"/>
                <w:bCs w:val="1"/>
                <w:color w:val="auto"/>
              </w:rPr>
              <w:t>(in thousands, except where indicated, unaudited)</w:t>
            </w: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merchandise volume (in millions)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89,124</w:t>
            </w:r>
          </w:p>
        </w:tc>
        <w:tc>
          <w:tcPr>
            <w:tcW w:w="4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63,437</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39,738</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123,776</w:t>
            </w:r>
          </w:p>
        </w:tc>
        <w:tc>
          <w:tcPr>
            <w:tcW w:w="4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5"/>
              <w:spacing w:after="0"/>
              <w:rPr>
                <w:sz w:val="20"/>
                <w:szCs w:val="20"/>
                <w:color w:val="auto"/>
              </w:rPr>
            </w:pPr>
            <w:r>
              <w:rPr>
                <w:rFonts w:ascii="Arial" w:cs="Arial" w:eastAsia="Arial" w:hAnsi="Arial"/>
                <w:sz w:val="18"/>
                <w:szCs w:val="18"/>
                <w:color w:val="auto"/>
              </w:rPr>
              <w:t>92,902</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65,721</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 Margin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(19,451)</w:t>
            </w:r>
          </w:p>
        </w:tc>
        <w:tc>
          <w:tcPr>
            <w:tcW w:w="4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5"/>
              <w:spacing w:after="0"/>
              <w:rPr>
                <w:sz w:val="20"/>
                <w:szCs w:val="20"/>
                <w:color w:val="auto"/>
              </w:rPr>
            </w:pPr>
            <w:r>
              <w:rPr>
                <w:rFonts w:ascii="Arial" w:cs="Arial" w:eastAsia="Arial" w:hAnsi="Arial"/>
                <w:sz w:val="18"/>
                <w:szCs w:val="18"/>
                <w:color w:val="auto"/>
              </w:rPr>
              <w:t>2,497</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(1,923)</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(33,782)</w:t>
            </w:r>
          </w:p>
        </w:tc>
        <w:tc>
          <w:tcPr>
            <w:tcW w:w="4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(6,081)</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1,311</w:t>
            </w: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Merchandise Volume</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assess the growth in transaction volume using GMV, which represents the gross total dollar value of orders received by our merchants and reviewed through our eCommerce risk management platform during the period indicated, including the value of orders that we did not approve. GMV is an indicator of the success of our merchants and the scale of our platform. GMV does not represent transactions successfully completed on our merchants’ websites or revenue earned by us, however, our revenue is directionally correlated with the level of GMV reviewed through our platform and is an indicator of future revenue opportunities. We generate revenue based on the portion of GMV we approve in combination with the associated risk-adjusted fee.</w:t>
      </w:r>
    </w:p>
    <w:p>
      <w:pPr>
        <w:spacing w:after="0" w:line="158" w:lineRule="exact"/>
        <w:rPr>
          <w:sz w:val="20"/>
          <w:szCs w:val="20"/>
          <w:color w:val="auto"/>
        </w:rPr>
      </w:pPr>
    </w:p>
    <w:p>
      <w:pPr>
        <w:jc w:val="both"/>
        <w:ind w:right="180" w:firstLine="318"/>
        <w:spacing w:after="0" w:line="248" w:lineRule="auto"/>
        <w:rPr>
          <w:sz w:val="20"/>
          <w:szCs w:val="20"/>
          <w:color w:val="auto"/>
        </w:rPr>
      </w:pPr>
      <w:r>
        <w:rPr>
          <w:rFonts w:ascii="Arial" w:cs="Arial" w:eastAsia="Arial" w:hAnsi="Arial"/>
          <w:sz w:val="18"/>
          <w:szCs w:val="18"/>
          <w:color w:val="auto"/>
        </w:rPr>
        <w:t>For the portion of GMV we do not approve and on which do not generate revenue, for example, GMV associated with declined orders, the underlying data for those transactions is valuable for us to enrich our database and enhance our models. GMV may fluctuate in future periods due to a number of factors, including global macroeconomic conditions, changes in the number and mix of merchants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6" w:name="page67"/>
    <w:bookmarkEnd w:id="66"/>
    <w:p>
      <w:pPr>
        <w:ind w:right="180"/>
        <w:spacing w:after="0" w:line="430" w:lineRule="auto"/>
        <w:rPr>
          <w:sz w:val="20"/>
          <w:szCs w:val="20"/>
          <w:color w:val="auto"/>
        </w:rPr>
      </w:pPr>
      <w:r>
        <w:rPr>
          <w:rFonts w:ascii="Arial" w:cs="Arial" w:eastAsia="Arial" w:hAnsi="Arial"/>
          <w:sz w:val="18"/>
          <w:szCs w:val="18"/>
          <w:color w:val="auto"/>
        </w:rPr>
        <w:t xml:space="preserve">eCommerce risk management platform, the level of penetration within our merchant base, and our ability to retain our existing merchant base. </w:t>
      </w:r>
      <w:r>
        <w:rPr>
          <w:rFonts w:ascii="Arial" w:cs="Arial" w:eastAsia="Arial" w:hAnsi="Arial"/>
          <w:sz w:val="18"/>
          <w:szCs w:val="18"/>
          <w:b w:val="1"/>
          <w:bCs w:val="1"/>
          <w:color w:val="auto"/>
        </w:rPr>
        <w:t>Adjusted Gross Profit and Adjusted Gross Profit Margin</w:t>
      </w:r>
    </w:p>
    <w:p>
      <w:pPr>
        <w:jc w:val="both"/>
        <w:ind w:right="220" w:firstLine="318"/>
        <w:spacing w:after="0" w:line="270" w:lineRule="auto"/>
        <w:rPr>
          <w:sz w:val="20"/>
          <w:szCs w:val="20"/>
          <w:color w:val="auto"/>
        </w:rPr>
      </w:pPr>
      <w:r>
        <w:rPr>
          <w:rFonts w:ascii="Arial" w:cs="Arial" w:eastAsia="Arial" w:hAnsi="Arial"/>
          <w:sz w:val="17"/>
          <w:szCs w:val="17"/>
          <w:color w:val="auto"/>
        </w:rPr>
        <w:t>Adjusted Gross Profit represents gross profit excluding the impact of depreciation and amortization, share-based compensation expense, and payroll taxes related to share-based compensation included in cost of revenue. Adjusted Gross Profit Margin represents Adjusted Gross Profit expressed as a percentage of revenue. Adjusted Gross Profit and Adjusted Gross Profit Margin are each non-GAAP financial metrics.</w:t>
      </w:r>
    </w:p>
    <w:p>
      <w:pPr>
        <w:spacing w:after="0" w:line="135"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following table presents a reconciliation of our gross profit and gross profit margin, the most directly comparable U.S GAAP measure, to Adjusted Gross Profit and Adjusted Gross Profit Margin for each of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9"/>
        </w:trPr>
        <w:tc>
          <w:tcPr>
            <w:tcW w:w="6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179"/>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40" w:type="dxa"/>
            <w:vAlign w:val="bottom"/>
            <w:gridSpan w:val="7"/>
          </w:tcPr>
          <w:p>
            <w:pPr>
              <w:jc w:val="center"/>
              <w:ind w:right="314"/>
              <w:spacing w:after="0"/>
              <w:rPr>
                <w:sz w:val="20"/>
                <w:szCs w:val="20"/>
                <w:color w:val="auto"/>
              </w:rPr>
            </w:pPr>
            <w:r>
              <w:rPr>
                <w:rFonts w:ascii="Arial" w:cs="Arial" w:eastAsia="Arial" w:hAnsi="Arial"/>
                <w:sz w:val="14"/>
                <w:szCs w:val="14"/>
                <w:b w:val="1"/>
                <w:bCs w:val="1"/>
                <w:color w:val="auto"/>
              </w:rPr>
              <w:t>(in thousands, except where indicated, unaudited)</w:t>
            </w:r>
          </w:p>
        </w:tc>
      </w:tr>
      <w:tr>
        <w:trPr>
          <w:trHeight w:val="24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229,141</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169,740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130,555</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20"/>
                <w:szCs w:val="20"/>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106,170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76,916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64,867</w:t>
            </w:r>
          </w:p>
        </w:tc>
      </w:tr>
      <w:tr>
        <w:trPr>
          <w:trHeight w:val="28"/>
        </w:trPr>
        <w:tc>
          <w:tcPr>
            <w:tcW w:w="6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122,971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92,824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65,688</w:t>
            </w:r>
          </w:p>
        </w:tc>
      </w:tr>
      <w:tr>
        <w:trPr>
          <w:trHeight w:val="218"/>
        </w:trPr>
        <w:tc>
          <w:tcPr>
            <w:tcW w:w="6000" w:type="dxa"/>
            <w:vAlign w:val="bottom"/>
          </w:tcPr>
          <w:p>
            <w:pPr>
              <w:ind w:left="240"/>
              <w:spacing w:after="0" w:line="204" w:lineRule="exact"/>
              <w:rPr>
                <w:sz w:val="20"/>
                <w:szCs w:val="20"/>
                <w:color w:val="auto"/>
              </w:rPr>
            </w:pPr>
            <w:r>
              <w:rPr>
                <w:rFonts w:ascii="Arial" w:cs="Arial" w:eastAsia="Arial" w:hAnsi="Arial"/>
                <w:sz w:val="18"/>
                <w:szCs w:val="18"/>
                <w:color w:val="auto"/>
              </w:rPr>
              <w:t>Share-based compensation expense included within cost of revenue</w:t>
            </w: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12</w:t>
            </w:r>
          </w:p>
        </w:tc>
      </w:tr>
      <w:tr>
        <w:trPr>
          <w:trHeight w:val="226"/>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included within cost of revenue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21</w:t>
            </w:r>
          </w:p>
        </w:tc>
      </w:tr>
      <w:tr>
        <w:trPr>
          <w:trHeight w:val="218"/>
        </w:trPr>
        <w:tc>
          <w:tcPr>
            <w:tcW w:w="6000" w:type="dxa"/>
            <w:vAlign w:val="bottom"/>
          </w:tcPr>
          <w:p>
            <w:pPr>
              <w:ind w:left="20"/>
              <w:spacing w:after="0" w:line="219"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2"/>
                <w:szCs w:val="22"/>
                <w:color w:val="auto"/>
                <w:vertAlign w:val="superscript"/>
              </w:rPr>
              <w:t>(1)</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123,776</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92,902</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65,721</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6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Adjusted Gross Profit Margin</w:t>
            </w:r>
            <w:r>
              <w:rPr>
                <w:rFonts w:ascii="Arial" w:cs="Arial" w:eastAsia="Arial" w:hAnsi="Arial"/>
                <w:sz w:val="22"/>
                <w:szCs w:val="22"/>
                <w:color w:val="auto"/>
                <w:vertAlign w:val="superscript"/>
              </w:rPr>
              <w:t>(1)</w:t>
            </w: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20" w:right="120" w:hanging="314"/>
        <w:spacing w:after="0"/>
        <w:tabs>
          <w:tab w:leader="none" w:pos="30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Adjusted Gross Profit and Adjusted Gross Profit Margin are supplemental measures of our performance that are not required by, or presented in accordance with U.S. GAAP. Adjusted Gross Profit and Adjusted Gross Profit Margin are not measurements of gross profit and gross profit margin, respectively, under U.S. GAAP and should not be considered as an alternative to gross profit or gross profit margin, respectively, or any other performance measure derived in accordance with, U.S. GAAP. Other companies, including companies in our industry, may calculate Adjusted Gross Profit and Adjusted Gross Profit Margin differently or not at all, which reduces their usefulness as a comparative measure.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86" w:lineRule="exact"/>
        <w:rPr>
          <w:sz w:val="20"/>
          <w:szCs w:val="20"/>
          <w:color w:val="auto"/>
        </w:rPr>
      </w:pPr>
    </w:p>
    <w:p>
      <w:pPr>
        <w:ind w:right="120" w:firstLine="318"/>
        <w:spacing w:after="0" w:line="263" w:lineRule="auto"/>
        <w:rPr>
          <w:sz w:val="20"/>
          <w:szCs w:val="20"/>
          <w:color w:val="auto"/>
        </w:rPr>
      </w:pPr>
      <w:r>
        <w:rPr>
          <w:rFonts w:ascii="Arial" w:cs="Arial" w:eastAsia="Arial" w:hAnsi="Arial"/>
          <w:sz w:val="17"/>
          <w:szCs w:val="17"/>
          <w:color w:val="auto"/>
        </w:rPr>
        <w:t>Adjusted EBITDA represents net profit (loss) adjusted to remove the effects of the provision for income taxes, interest income, net, other income (expense), net, depreciation and amortization, share-based compensation expense, and payroll taxes related to share-based compensation. The above items are excluded from Adjusted EBITDA because these items are non-cash in nature, or because the amount and timing of these items is unpredictable, or are not driven by our core results of operations. We believe Adjusted EBITDA provides useful information to investors and others in understanding and evaluating our results of operations, as well as provides a useful measure for period-to-period comparisons of our business performance. Moreover, we have included Adjusted EBITDA in this Annual Report because it is a key measurement used by our management internally to make operating decisions, including those related to analyzing operating expenses, evaluating performance, and performing strategic planning and annual budgeting. Adjusted EBITDA is a non-GAAP financial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7" w:name="page68"/>
    <w:bookmarkEnd w:id="67"/>
    <w:p>
      <w:pPr>
        <w:ind w:right="180" w:firstLine="318"/>
        <w:spacing w:after="0" w:line="251" w:lineRule="auto"/>
        <w:rPr>
          <w:sz w:val="20"/>
          <w:szCs w:val="20"/>
          <w:color w:val="auto"/>
        </w:rPr>
      </w:pPr>
      <w:r>
        <w:rPr>
          <w:rFonts w:ascii="Arial" w:cs="Arial" w:eastAsia="Arial" w:hAnsi="Arial"/>
          <w:sz w:val="18"/>
          <w:szCs w:val="18"/>
          <w:color w:val="auto"/>
        </w:rPr>
        <w:t>The following table presents a reconciliation of net profit (loss), the most directly comparable U.S GAAP measure, to Adjusted EBITDA for each of the periods presented: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79"/>
        </w:trPr>
        <w:tc>
          <w:tcPr>
            <w:tcW w:w="55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179"/>
        </w:trPr>
        <w:tc>
          <w:tcPr>
            <w:tcW w:w="5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 unaudited)</w:t>
            </w: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5"/>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profit (loss)</w:t>
            </w: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r>
      <w:tr>
        <w:trPr>
          <w:trHeight w:val="225"/>
        </w:trPr>
        <w:tc>
          <w:tcPr>
            <w:tcW w:w="5560" w:type="dxa"/>
            <w:vAlign w:val="bottom"/>
          </w:tcPr>
          <w:p>
            <w:pPr>
              <w:ind w:left="560"/>
              <w:spacing w:after="0"/>
              <w:rPr>
                <w:sz w:val="20"/>
                <w:szCs w:val="20"/>
                <w:color w:val="auto"/>
              </w:rPr>
            </w:pPr>
            <w:r>
              <w:rPr>
                <w:rFonts w:ascii="Arial" w:cs="Arial" w:eastAsia="Arial" w:hAnsi="Arial"/>
                <w:sz w:val="18"/>
                <w:szCs w:val="18"/>
                <w:color w:val="auto"/>
              </w:rPr>
              <w:t>Provision for (benefit from) income taxes</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6"/>
        </w:trPr>
        <w:tc>
          <w:tcPr>
            <w:tcW w:w="5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(income) expense, net</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5560" w:type="dxa"/>
            <w:vAlign w:val="bottom"/>
          </w:tcPr>
          <w:p>
            <w:pPr>
              <w:ind w:left="560"/>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122,520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6"/>
        </w:trPr>
        <w:tc>
          <w:tcPr>
            <w:tcW w:w="5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5"/>
        </w:trPr>
        <w:tc>
          <w:tcPr>
            <w:tcW w:w="5560" w:type="dxa"/>
            <w:vAlign w:val="bottom"/>
          </w:tcPr>
          <w:p>
            <w:pPr>
              <w:ind w:left="560"/>
              <w:spacing w:after="0"/>
              <w:rPr>
                <w:sz w:val="20"/>
                <w:szCs w:val="20"/>
                <w:color w:val="auto"/>
              </w:rPr>
            </w:pPr>
            <w:r>
              <w:rPr>
                <w:rFonts w:ascii="Arial" w:cs="Arial" w:eastAsia="Arial" w:hAnsi="Arial"/>
                <w:sz w:val="18"/>
                <w:szCs w:val="18"/>
                <w:color w:val="auto"/>
              </w:rPr>
              <w:t>Share-based compensation expense</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33,358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11,237</w:t>
            </w:r>
          </w:p>
        </w:tc>
      </w:tr>
      <w:tr>
        <w:trPr>
          <w:trHeight w:val="226"/>
        </w:trPr>
        <w:tc>
          <w:tcPr>
            <w:tcW w:w="5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Payroll taxes related to share-based compensation</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560" w:type="dxa"/>
            <w:vAlign w:val="bottom"/>
          </w:tcPr>
          <w:p>
            <w:pPr>
              <w:ind w:left="340"/>
              <w:spacing w:after="0" w:line="219" w:lineRule="exact"/>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(2)</w:t>
            </w: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(19,451)</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r>
      <w:tr>
        <w:trPr>
          <w:trHeight w:val="20"/>
        </w:trPr>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20" w:hanging="314"/>
        <w:spacing w:after="0" w:line="241" w:lineRule="auto"/>
        <w:tabs>
          <w:tab w:leader="none" w:pos="3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Adjusted EBITDA is a supplemental measure of our performance that is not required by, or presented in accordance with, U.S. GAAP. Adjusted EBITDA is not a measurement of our financial performance under U.S. GAAP and should not be considered as an alternative to net profit (loss) or any other performance measure derived in accordance with U.S. GAAP. Adjusted EBITDA has limitations as an analytical tool, and should not be considered in isolation, or as an alternative to, or a substitute for net profit (loss) or other financial statement data presented in our consolidated financial statements as indicators of financial performance. Some of the limitations are:</w:t>
      </w:r>
    </w:p>
    <w:p>
      <w:pPr>
        <w:spacing w:after="0" w:line="148" w:lineRule="exact"/>
        <w:rPr>
          <w:rFonts w:ascii="Arial" w:cs="Arial" w:eastAsia="Arial" w:hAnsi="Arial"/>
          <w:sz w:val="14"/>
          <w:szCs w:val="14"/>
          <w:color w:val="auto"/>
        </w:rPr>
      </w:pPr>
    </w:p>
    <w:p>
      <w:pPr>
        <w:ind w:left="960" w:hanging="318"/>
        <w:spacing w:after="0"/>
        <w:tabs>
          <w:tab w:leader="none" w:pos="9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such measure does not reflect our cash expenditures, or future requirements for capital expenditures, or contractual commitments;</w:t>
      </w:r>
    </w:p>
    <w:p>
      <w:pPr>
        <w:spacing w:after="0" w:line="157" w:lineRule="exact"/>
        <w:rPr>
          <w:rFonts w:ascii="Arial" w:cs="Arial" w:eastAsia="Arial" w:hAnsi="Arial"/>
          <w:sz w:val="14"/>
          <w:szCs w:val="14"/>
          <w:color w:val="auto"/>
        </w:rPr>
      </w:pPr>
    </w:p>
    <w:p>
      <w:pPr>
        <w:ind w:left="960" w:hanging="318"/>
        <w:spacing w:after="0"/>
        <w:tabs>
          <w:tab w:leader="none" w:pos="9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such measure does not reflect changes in, or cash requirements for, our working capital needs;</w:t>
      </w:r>
    </w:p>
    <w:p>
      <w:pPr>
        <w:spacing w:after="0" w:line="157" w:lineRule="exact"/>
        <w:rPr>
          <w:rFonts w:ascii="Arial" w:cs="Arial" w:eastAsia="Arial" w:hAnsi="Arial"/>
          <w:sz w:val="14"/>
          <w:szCs w:val="14"/>
          <w:color w:val="auto"/>
        </w:rPr>
      </w:pPr>
    </w:p>
    <w:p>
      <w:pPr>
        <w:ind w:left="960" w:hanging="318"/>
        <w:spacing w:after="0"/>
        <w:tabs>
          <w:tab w:leader="none" w:pos="9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such measure does not reflect our tax expense or the cash requirements to pay our taxes;</w:t>
      </w:r>
    </w:p>
    <w:p>
      <w:pPr>
        <w:spacing w:after="0" w:line="157" w:lineRule="exact"/>
        <w:rPr>
          <w:rFonts w:ascii="Arial" w:cs="Arial" w:eastAsia="Arial" w:hAnsi="Arial"/>
          <w:sz w:val="14"/>
          <w:szCs w:val="14"/>
          <w:color w:val="auto"/>
        </w:rPr>
      </w:pPr>
    </w:p>
    <w:p>
      <w:pPr>
        <w:ind w:left="960" w:right="360" w:hanging="318"/>
        <w:spacing w:after="0" w:line="250" w:lineRule="auto"/>
        <w:tabs>
          <w:tab w:leader="none" w:pos="956" w:val="left"/>
        </w:tabs>
        <w:numPr>
          <w:ilvl w:val="1"/>
          <w:numId w:val="35"/>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such measure does not reflect any cash requirements for such replacements; and</w:t>
      </w:r>
    </w:p>
    <w:p>
      <w:pPr>
        <w:spacing w:after="0" w:line="141" w:lineRule="exact"/>
        <w:rPr>
          <w:rFonts w:ascii="Arial" w:cs="Arial" w:eastAsia="Arial" w:hAnsi="Arial"/>
          <w:sz w:val="14"/>
          <w:szCs w:val="14"/>
          <w:color w:val="auto"/>
        </w:rPr>
      </w:pPr>
    </w:p>
    <w:p>
      <w:pPr>
        <w:ind w:left="960" w:hanging="318"/>
        <w:spacing w:after="0"/>
        <w:tabs>
          <w:tab w:leader="none" w:pos="9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other companies in our industry may calculate such measure differently than we do, limiting their usefulness as comparative measures.</w:t>
      </w:r>
    </w:p>
    <w:p>
      <w:pPr>
        <w:spacing w:after="0" w:line="157" w:lineRule="exact"/>
        <w:rPr>
          <w:sz w:val="20"/>
          <w:szCs w:val="20"/>
          <w:color w:val="auto"/>
        </w:rPr>
      </w:pPr>
    </w:p>
    <w:p>
      <w:pPr>
        <w:ind w:left="320" w:right="780"/>
        <w:spacing w:after="0" w:line="250" w:lineRule="auto"/>
        <w:rPr>
          <w:sz w:val="20"/>
          <w:szCs w:val="20"/>
          <w:color w:val="auto"/>
        </w:rPr>
      </w:pPr>
      <w:r>
        <w:rPr>
          <w:rFonts w:ascii="Arial" w:cs="Arial" w:eastAsia="Arial" w:hAnsi="Arial"/>
          <w:sz w:val="14"/>
          <w:szCs w:val="14"/>
          <w:color w:val="auto"/>
        </w:rPr>
        <w:t>Due to these limitations, Adjusted EBITDA should not be considered as a measure of discretionary cash available to us to invest in the growth of our business. We compensate for these limitations by relying primarily on our U.S. GAAP results and using this non-GAAP measure only supplementally.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8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Free Cash Flow represents net cash provided by (used in) operating activities, less cash purchases of property and equipment, and cash spent on capitalized software development costs. We provide Free Cash Flow because it is a liquidity measure that provides useful information to management and investors about the amount of cash generated by the business that can be used for strategic opportunities, including investing in our business and strengthening our balance sheet. Free Cash Flow is a non-GAAP financial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8" w:name="page69"/>
    <w:bookmarkEnd w:id="68"/>
    <w:p>
      <w:pPr>
        <w:ind w:right="80" w:firstLine="318"/>
        <w:spacing w:after="0" w:line="251" w:lineRule="auto"/>
        <w:rPr>
          <w:sz w:val="20"/>
          <w:szCs w:val="20"/>
          <w:color w:val="auto"/>
        </w:rPr>
      </w:pPr>
      <w:r>
        <w:rPr>
          <w:rFonts w:ascii="Arial" w:cs="Arial" w:eastAsia="Arial" w:hAnsi="Arial"/>
          <w:sz w:val="18"/>
          <w:szCs w:val="18"/>
          <w:color w:val="auto"/>
        </w:rPr>
        <w:t>The following table presents a reconciliation of net cash provided by (used in) operating activities, the most directly comparable U.S. GAAP measure, to Free Cash Flow for each of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79"/>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 unaudited)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18"/>
        </w:trPr>
        <w:tc>
          <w:tcPr>
            <w:tcW w:w="6320" w:type="dxa"/>
            <w:vAlign w:val="bottom"/>
          </w:tcPr>
          <w:p>
            <w:pPr>
              <w:ind w:left="20"/>
              <w:spacing w:after="0" w:line="219" w:lineRule="exact"/>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(3)</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(33,782)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(6,081)</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0"/>
        </w:trPr>
        <w:tc>
          <w:tcPr>
            <w:tcW w:w="6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20" w:right="20" w:hanging="314"/>
        <w:spacing w:after="0" w:line="243" w:lineRule="auto"/>
        <w:tabs>
          <w:tab w:leader="none" w:pos="307" w:val="left"/>
        </w:tabs>
        <w:numPr>
          <w:ilvl w:val="0"/>
          <w:numId w:val="36"/>
        </w:numPr>
        <w:rPr>
          <w:rFonts w:ascii="Arial" w:cs="Arial" w:eastAsia="Arial" w:hAnsi="Arial"/>
          <w:sz w:val="14"/>
          <w:szCs w:val="14"/>
          <w:color w:val="auto"/>
        </w:rPr>
      </w:pPr>
      <w:r>
        <w:rPr>
          <w:rFonts w:ascii="Arial" w:cs="Arial" w:eastAsia="Arial" w:hAnsi="Arial"/>
          <w:sz w:val="14"/>
          <w:szCs w:val="14"/>
          <w:color w:val="auto"/>
        </w:rPr>
        <w:t>Free Cash Flow is a supplemental measure of our performance that is not required by, or presented in accordance with, U.S. GAAP. Free Cash Flow is not a measurement of net cash provided by (used in) operating activities under U.S. GAAP and should not be considered as an alternative to cash flows from operating activities as a measure of our liquidity. Other companies, including companies in our industry, may calculate Free Cash Flow differently or not at all, which reduces its usefulness as a comparative measure.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6"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We primarily generate revenue by granting merchants access to our eCommerce risk management platform and reviewing and approving eCommerce transactions for legitimacy. Revenue is also generated from the issuance of indemnification guarantees. For the majority of our revenue, we charge our merchants a percentage of every dollar of GMV that we approve and guarantee on their behalf. Our fee, as determined by our risk-based pricing model, in these situations is expressed as a percentage of the GMV of our merchants’ orders that we 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spacing w:after="0" w:line="141"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 xml:space="preserve">Contracts with our merchants for our Chargeback Guarantee product obligate us to review eCommerce transactions for legitimacy, as well as to indemnify merchants for costs incurred associated with an approved transaction in the event of a chargeback due to fraud. Our fee is allocated between the consideration owed to us for our fraud review service and the consideration owed to us for issuing indemnification guarantees which are recorded at fair value and accounted for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 Consideration allocated to fraud review is recognized as revenue in the month that the transactions are approved while consideration allocated to the indemnification guarantee is recognized as revenue as we are released from risk under the guarantee, generally over a six-month period from the date of the transaction.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revenue net of cancellations and adjustments for minimum service level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Cost of revenue primarily consists of chargeback guarantee expenses and other expenses directly related to providing our products to our merchants. These other expenses include compensation and benefits related costs, including share-based compensation expense associated with teams integral in providing our service, hosting fees and software costs, payment processing fees, amortization of capitalized software development costs and deferred contract fulfillment costs, depreciation expense, and allocated overhead. For products that offer guarantees of past performance, such as our Chargeback Guarantee, we provide contractual assurances around the accuracy of our approvals so that our merchants can confidently automate a transaction’s execution. In the event that a valid claim exists, we typically pay our merchants in the form of credits on future invoices, in an amount that generally represents the approved transaction amount. Chargeback claims can be disputed and if the decision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9" w:name="page70"/>
    <w:bookmarkEnd w:id="69"/>
    <w:p>
      <w:pPr>
        <w:ind w:right="260"/>
        <w:spacing w:after="0" w:line="251" w:lineRule="auto"/>
        <w:rPr>
          <w:sz w:val="20"/>
          <w:szCs w:val="20"/>
          <w:color w:val="auto"/>
        </w:rPr>
      </w:pPr>
      <w:r>
        <w:rPr>
          <w:rFonts w:ascii="Arial" w:cs="Arial" w:eastAsia="Arial" w:hAnsi="Arial"/>
          <w:sz w:val="18"/>
          <w:szCs w:val="18"/>
          <w:color w:val="auto"/>
        </w:rPr>
        <w:t>the dispute concludes that the order was not fraudulent, the chargeback is classified as chargebacks won. We present chargeback expenses net of chargebacks won, since such amounts are refunded to us.</w:t>
      </w:r>
    </w:p>
    <w:p>
      <w:pPr>
        <w:spacing w:after="0" w:line="15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We have capitalized eligible costs associated with projects to develop internal-use software. When these projects are substantially complete and ready for their intended use, the costs will be amortized to cost of revenue which may drive an increase in cost of revenue in future periods.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As our business continues to grow, we expect our gross profit will increase in absolute dollars while our gross profit margin may fluctuate from period to period. Our gross profit margin is highly dependent on our risk-based pricing model which determines the fee we charge our merchants, our approval rate thresholds, the merchant mix of our revenue, and new geographies and industries into which we may enter. We control the decision to approve a particular transaction and continuously monitor our approval rate thresholds to ensure we are not exposed to higher amounts of chargeback risk, and we structure our pricing in a way to mitigate this risk.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6"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Compensation and benefits related costs are the most significant component of operating expenses and consists of salaries and benefits, share-based compensation expense, and other employee benefit costs. Operating expenses also primarily include third-party hosting fees and software costs, professional service fees, overhead costs including rent and utilities, marketing and advertising related costs, and depreciation expense. We expect our operating expenses will increase in absolute dollars as our business grows, but will fluctuate as a percentage of revenue from period to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Research and development expenses primarily consist of compensation and benefits related costs, including share-based compensation expense associated with research and development teams that are responsible for the design, development, and testing of our eCommerce risk management platform infrastructure, including expenses associated with adding new features, increasing the functionality, and enhancing the usability of our platform. Research and development expenses also include investments we are making in new products, as well as third-party hosting fees and software costs used by our research and development teams, overhead costs, and depreciation expense.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6"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Sales and marketing expenses primarily consist of compensation and benefits related costs, including share-based compensation expense directly associated with our sales and marketing teams. Sales and marketing expenses also consist of costs associated with conferences, events, digital marketing and advertising programs, amortization of deferred contract acquisition costs including commissions, overhead costs, and depreciation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General and administrative expenses primarily consist of compensation and benefits related costs, including share-based compensation expense associated with our finance, legal, human resources, information technology, and administrative functions. General and administrative costs also consist of third-party professional service fees for external legal, accounting and other consulting services, hosting fees and software costs, overhead costs, and depreciation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Net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(expense), net primarily consists of interest earned on our cash deposits and short-term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Other Income (Expense), Net</w:t>
      </w:r>
    </w:p>
    <w:p>
      <w:pPr>
        <w:spacing w:after="0" w:line="186"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Other income (expense), net primarily consists of remeasurement gains and losses on our convertible preferred share warrant liabilities and convertible preferred share tranche rights, as well as foreign exchange gains and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Provision for income taxes consists of income taxes related to Israel, United States (federal and state), China and UK taxes. We maintain a full valuation allowance on our Israeli deferred tax assets resulting from carryforward tax losses and other reserves and allowances, as we have concluded that it is not more likely than not that the deferred tax assets will be realized due to our history of operating losses and current uncertainty concerning our ability to realize these deferred tax assets in the foreseeable future. Our effective tax rate is primarily affected by the tax rate in Israel and the United States and the relative amounts of income we earn in those jurisdictions, as well as non-deductible expenses, such as share-based compensation, and changes in our valuation allowance.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Operating Results</w:t>
      </w:r>
    </w:p>
    <w:p>
      <w:pPr>
        <w:spacing w:after="0" w:line="186" w:lineRule="exact"/>
        <w:rPr>
          <w:sz w:val="20"/>
          <w:szCs w:val="20"/>
          <w:color w:val="auto"/>
        </w:rPr>
      </w:pPr>
    </w:p>
    <w:p>
      <w:pPr>
        <w:ind w:firstLine="318"/>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For a discussion of our results of operations for the year ended December 31, 2019, including a year-to-year comparison between 2020 and 2019, and a year-to-year comparison of our liquidity and capital resources between 2020 and 2019, refer to "Management's Discussion and Analysis of Financial Condition and Results of Operations" in our </w:t>
      </w:r>
      <w:hyperlink r:id="rId77">
        <w:r>
          <w:rPr>
            <w:rFonts w:ascii="Arial" w:cs="Arial" w:eastAsia="Arial" w:hAnsi="Arial"/>
            <w:sz w:val="18"/>
            <w:szCs w:val="18"/>
            <w:u w:val="single" w:color="auto"/>
            <w:color w:val="0000FF"/>
          </w:rPr>
          <w:t>final prospectus filed pursuant to Rule 424(b)(4) on July 30, 2021</w:t>
        </w:r>
      </w:hyperlink>
      <w:r>
        <w:rPr>
          <w:rFonts w:ascii="Arial" w:cs="Arial" w:eastAsia="Arial" w:hAnsi="Arial"/>
          <w:sz w:val="18"/>
          <w:szCs w:val="18"/>
          <w:color w:val="auto"/>
        </w:rPr>
        <w:t>.</w:t>
      </w:r>
    </w:p>
    <w:p>
      <w:pPr>
        <w:spacing w:after="0" w:line="153"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r>
      <w:tr>
        <w:trPr>
          <w:trHeight w:val="179"/>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00"/>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r>
      <w:tr>
        <w:trPr>
          <w:trHeight w:val="23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169,740</w:t>
            </w:r>
          </w:p>
        </w:tc>
      </w:tr>
      <w:tr>
        <w:trPr>
          <w:trHeight w:val="225"/>
        </w:trPr>
        <w:tc>
          <w:tcPr>
            <w:tcW w:w="80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76,916</w:t>
            </w:r>
          </w:p>
        </w:tc>
      </w:tr>
      <w:tr>
        <w:trPr>
          <w:trHeight w:val="21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92,824</w:t>
            </w:r>
          </w:p>
        </w:tc>
      </w:tr>
      <w:tr>
        <w:trPr>
          <w:trHeight w:val="205"/>
        </w:trPr>
        <w:tc>
          <w:tcPr>
            <w:tcW w:w="80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800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36,642</w:t>
            </w:r>
          </w:p>
        </w:tc>
      </w:tr>
      <w:tr>
        <w:trPr>
          <w:trHeight w:val="225"/>
        </w:trPr>
        <w:tc>
          <w:tcPr>
            <w:tcW w:w="8000" w:type="dxa"/>
            <w:vAlign w:val="bottom"/>
          </w:tcPr>
          <w:p>
            <w:pPr>
              <w:ind w:left="240"/>
              <w:spacing w:after="0" w:line="225"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70,165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41,137</w:t>
            </w:r>
          </w:p>
        </w:tc>
      </w:tr>
      <w:tr>
        <w:trPr>
          <w:trHeight w:val="225"/>
        </w:trPr>
        <w:tc>
          <w:tcPr>
            <w:tcW w:w="800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r>
      <w:tr>
        <w:trPr>
          <w:trHeight w:val="218"/>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178,369</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99,632</w:t>
            </w:r>
          </w:p>
        </w:tc>
      </w:tr>
      <w:tr>
        <w:trPr>
          <w:trHeight w:val="21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profit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(122,520)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r>
      <w:tr>
        <w:trPr>
          <w:trHeight w:val="218"/>
        </w:trPr>
        <w:tc>
          <w:tcPr>
            <w:tcW w:w="8000" w:type="dxa"/>
            <w:vAlign w:val="bottom"/>
          </w:tcPr>
          <w:p>
            <w:pPr>
              <w:ind w:left="240"/>
              <w:spacing w:after="0"/>
              <w:rPr>
                <w:sz w:val="20"/>
                <w:szCs w:val="20"/>
                <w:color w:val="auto"/>
              </w:rPr>
            </w:pPr>
            <w:r>
              <w:rPr>
                <w:rFonts w:ascii="Arial" w:cs="Arial" w:eastAsia="Arial" w:hAnsi="Arial"/>
                <w:sz w:val="18"/>
                <w:szCs w:val="18"/>
                <w:color w:val="auto"/>
              </w:rPr>
              <w:t>Profit (loss)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(177,327)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(10,272)</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19"/>
        </w:trPr>
        <w:tc>
          <w:tcPr>
            <w:tcW w:w="8000" w:type="dxa"/>
            <w:vAlign w:val="bottom"/>
          </w:tcPr>
          <w:p>
            <w:pPr>
              <w:ind w:left="240"/>
              <w:spacing w:after="0"/>
              <w:rPr>
                <w:sz w:val="20"/>
                <w:szCs w:val="20"/>
                <w:color w:val="auto"/>
              </w:rPr>
            </w:pPr>
            <w:r>
              <w:rPr>
                <w:rFonts w:ascii="Arial" w:cs="Arial" w:eastAsia="Arial" w:hAnsi="Arial"/>
                <w:sz w:val="18"/>
                <w:szCs w:val="18"/>
                <w:color w:val="auto"/>
              </w:rPr>
              <w:t>Net profit (loss)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(178,885)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tabs>
          <w:tab w:leader="none" w:pos="300" w:val="left"/>
        </w:tabs>
        <w:rPr>
          <w:sz w:val="20"/>
          <w:szCs w:val="20"/>
          <w:color w:val="auto"/>
        </w:rPr>
      </w:pPr>
      <w:r>
        <w:rPr>
          <w:rFonts w:ascii="Arial" w:cs="Arial" w:eastAsia="Arial" w:hAnsi="Arial"/>
          <w:sz w:val="14"/>
          <w:szCs w:val="14"/>
          <w:color w:val="auto"/>
        </w:rPr>
        <w:t>(1)</w:t>
        <w:tab/>
        <w:t>Includes share-based compensation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71" w:name="page72"/>
    <w:bookmarkEnd w:id="71"/>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18,186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33,358</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(2)  Includes depreciation and amortization as follows:</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2,436</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7"/>
          </w:tcPr>
          <w:p>
            <w:pPr>
              <w:ind w:left="220"/>
              <w:spacing w:after="0"/>
              <w:rPr>
                <w:sz w:val="20"/>
                <w:szCs w:val="20"/>
                <w:color w:val="auto"/>
              </w:rPr>
            </w:pPr>
            <w:r>
              <w:rPr>
                <w:rFonts w:ascii="Arial" w:cs="Arial" w:eastAsia="Arial" w:hAnsi="Arial"/>
                <w:sz w:val="14"/>
                <w:szCs w:val="14"/>
                <w:b w:val="1"/>
                <w:bCs w:val="1"/>
                <w:color w:val="auto"/>
              </w:rPr>
              <w:t>(as a percentage of revenue)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74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profit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Profit (loss) before income taxes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ind w:left="8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Net profit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(78)%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Comparison of the Years Ended December 31, 2021 and 2020</w:t>
            </w: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540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229,141</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169,740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480" w:firstLine="318"/>
        <w:spacing w:after="0" w:line="251" w:lineRule="auto"/>
        <w:rPr>
          <w:sz w:val="20"/>
          <w:szCs w:val="20"/>
          <w:color w:val="auto"/>
        </w:rPr>
      </w:pPr>
      <w:r>
        <w:rPr>
          <w:rFonts w:ascii="Arial" w:cs="Arial" w:eastAsia="Arial" w:hAnsi="Arial"/>
          <w:sz w:val="18"/>
          <w:szCs w:val="18"/>
          <w:color w:val="auto"/>
        </w:rPr>
        <w:t>Revenue increased by $59.4 million, or 35%, for the year ended December 31, 2021 compared to the year ended December 31, 2020 driven by a $25.7 billion, or 40% increase in total GMV from $63.4 billion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248" w:lineRule="auto"/>
        <w:rPr>
          <w:sz w:val="20"/>
          <w:szCs w:val="20"/>
          <w:color w:val="auto"/>
        </w:rPr>
      </w:pPr>
      <w:r>
        <w:rPr>
          <w:rFonts w:ascii="Arial" w:cs="Arial" w:eastAsia="Arial" w:hAnsi="Arial"/>
          <w:sz w:val="18"/>
          <w:szCs w:val="18"/>
          <w:color w:val="auto"/>
        </w:rPr>
        <w:t>to $89.1 billion. This increase was primarily attributable to an increase in the adoption and expansion of our eCommerce risk management platform from existing merchants and an acceleration of the use of our merchants’ digital platforms by their consumers. The increase in revenue was also attributable to an increase in new merchants onboarded to our platform.</w:t>
      </w:r>
    </w:p>
    <w:p>
      <w:pPr>
        <w:spacing w:after="0" w:line="15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Additionally, $23.9 million of the increase in revenue is attributable to consideration allocated to issued indemnification guarantees that are accounted for under ASC 460. Revenue attributable to consideration allocated to guarantees increased for the same reasons as noted above. Revenue attributable to issued indemnification guarantees as a percentage of total revenue decreased from 43% during 2020 to 42% during 2021 due to a decrease in the fair value of issued guarantees.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Gross Profit Margin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521"/>
              <w:spacing w:after="0"/>
              <w:rPr>
                <w:sz w:val="20"/>
                <w:szCs w:val="20"/>
                <w:color w:val="auto"/>
              </w:rPr>
            </w:pPr>
            <w:r>
              <w:rPr>
                <w:rFonts w:ascii="Arial" w:cs="Arial" w:eastAsia="Arial" w:hAnsi="Arial"/>
                <w:sz w:val="14"/>
                <w:szCs w:val="14"/>
                <w:b w:val="1"/>
                <w:bCs w:val="1"/>
                <w:color w:val="auto"/>
                <w:w w:val="99"/>
              </w:rPr>
              <w:t>Year Ended December 31,</w:t>
            </w:r>
          </w:p>
        </w:tc>
        <w:tc>
          <w:tcPr>
            <w:tcW w:w="1420" w:type="dxa"/>
            <w:vAlign w:val="bottom"/>
            <w:tcBorders>
              <w:bottom w:val="single" w:sz="8" w:color="auto"/>
            </w:tcBorders>
          </w:tcPr>
          <w:p>
            <w:pPr>
              <w:spacing w:after="0"/>
              <w:rPr>
                <w:sz w:val="16"/>
                <w:szCs w:val="16"/>
                <w:color w:val="auto"/>
              </w:rPr>
            </w:pPr>
          </w:p>
        </w:tc>
      </w:tr>
      <w:tr>
        <w:trPr>
          <w:trHeight w:val="179"/>
        </w:trPr>
        <w:tc>
          <w:tcPr>
            <w:tcW w:w="48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 Change</w:t>
            </w: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3"/>
          </w:tcPr>
          <w:p>
            <w:pPr>
              <w:jc w:val="center"/>
              <w:ind w:right="521"/>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15"/>
                <w:szCs w:val="15"/>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106,170</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76,916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29,254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54 %</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55 %</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52"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Cost of revenue increased by $29.3 million, or 38%, for the year ended December 31, 2021 compared to the year ended December 31, 2020. The increase in cost of revenue was primarily attributable to an increase of $28.5 million in gross chargeback expenses offset by an increase of $6.1 million in chargebacks won. The increase in net chargeback expenses was driven by an increase in GMV. There was also an increase of $3.9 million in hosting fees and software costs associated with the growth in the usage of our eCommerce risk management platform and an increase of $2.3 million in compensation and benefits related costs, including share-based compensation expense, associated with teams integral in providing our service primarily due to an increase in headcount.</w:t>
      </w:r>
    </w:p>
    <w:p>
      <w:pPr>
        <w:spacing w:after="0" w:line="158" w:lineRule="exact"/>
        <w:rPr>
          <w:sz w:val="20"/>
          <w:szCs w:val="20"/>
          <w:color w:val="auto"/>
        </w:rPr>
      </w:pPr>
    </w:p>
    <w:p>
      <w:pPr>
        <w:ind w:right="980" w:firstLine="318"/>
        <w:spacing w:after="0" w:line="251" w:lineRule="auto"/>
        <w:rPr>
          <w:sz w:val="20"/>
          <w:szCs w:val="20"/>
          <w:color w:val="auto"/>
        </w:rPr>
      </w:pPr>
      <w:r>
        <w:rPr>
          <w:rFonts w:ascii="Arial" w:cs="Arial" w:eastAsia="Arial" w:hAnsi="Arial"/>
          <w:sz w:val="18"/>
          <w:szCs w:val="18"/>
          <w:color w:val="auto"/>
        </w:rPr>
        <w:t>Gross profit margin remained relatively flat at 54% for the year ended December 31, 2021 compared to 55% for the year ended December 31, 2020. Our CTB ratio remained relatively flat at 37% for the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79"/>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55,301</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36,642</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18,659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23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Research and development expenses increased by $18.7 million, or 51%, for the year ended December 31, 2021 compared to the year ended December 31, 2020. The increase was primarily attributable to an increase of $13.5 million in compensation and benefits related costs primarily due to an increase in headcount of our research and development teams, and a $2.5 million increase in overhead costs primarily related to additional rent expenses to accommodate our growing team. The increase in compensation and benefits related costs includes an increase of $0.6 million in share-based compensation expense. The remaining increase is primarily due to an increase of $2.4 million in hosting fees and software costs incurred by our research and development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79"/>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70,165</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41,137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29,028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bl>
    <w:p>
      <w:pPr>
        <w:spacing w:after="0" w:line="251"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Sales and marketing expenses increased by $29.0 million, or 71%, for the year ended December 31, 2021 compared to the year ended December 31, 2020. The increase was primarily attributable to an increase of $21.6 million in compensation and benefits related costs including an increase of $7.9 million in share-based compensation expense primarily due to increases in sales and marketing headcount and the grant of equity awards with performance and service conditions. The remaining increase of $7.5 million was primarily a result of increases in expenses associated with conferences, events, and digital marketing and advertising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79"/>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52,903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21,853</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31,050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bl>
    <w:p>
      <w:pPr>
        <w:spacing w:after="0" w:line="238"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General and administrative expenses increased by $31.1 million, or 142%, for the year ended December 31, 2021 compared to the year ended December 31, 2020. The increase was primarily attributable to an increase of $24.2 million in compensation and benefits related costs including an increase of $16.7 million in share-based compensation expense primarily due to the grant of equity awards with performance, market, and service conditions. The remaining increase consists of $3.5 million in overhead costs due to the growth in our business, an increase of $1.9 million in professional services expenses, and an increase of $1.0 million in software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center"/>
              <w:ind w:right="321"/>
              <w:spacing w:after="0"/>
              <w:rPr>
                <w:sz w:val="20"/>
                <w:szCs w:val="20"/>
                <w:color w:val="auto"/>
              </w:rPr>
            </w:pPr>
            <w:r>
              <w:rPr>
                <w:rFonts w:ascii="Arial" w:cs="Arial" w:eastAsia="Arial" w:hAnsi="Arial"/>
                <w:sz w:val="14"/>
                <w:szCs w:val="14"/>
                <w:b w:val="1"/>
                <w:bCs w:val="1"/>
                <w:color w:val="auto"/>
                <w:w w:val="99"/>
              </w:rPr>
              <w:t>Year Ended December 31,</w:t>
            </w:r>
          </w:p>
        </w:tc>
        <w:tc>
          <w:tcPr>
            <w:tcW w:w="1440" w:type="dxa"/>
            <w:vAlign w:val="bottom"/>
            <w:tcBorders>
              <w:bottom w:val="single" w:sz="8" w:color="auto"/>
            </w:tcBorders>
          </w:tcPr>
          <w:p>
            <w:pPr>
              <w:spacing w:after="0"/>
              <w:rPr>
                <w:sz w:val="16"/>
                <w:szCs w:val="16"/>
                <w:color w:val="auto"/>
              </w:rPr>
            </w:pPr>
          </w:p>
        </w:tc>
      </w:tr>
      <w:tr>
        <w:trPr>
          <w:trHeight w:val="179"/>
        </w:trPr>
        <w:tc>
          <w:tcPr>
            <w:tcW w:w="5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591</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446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308 %</w:t>
            </w:r>
          </w:p>
        </w:tc>
      </w:tr>
    </w:tbl>
    <w:p>
      <w:pPr>
        <w:spacing w:after="0" w:line="251"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Interest income (expense), net increased by $0.4 million, or 308%, for the year ended December 31, 2021 compared to the year ended December 31, 2020, primarily due to higher average cash on hand throughout the year ended December 31, 2021. The increase in average cash on hand is primarily due to the closing of the fourth tranche of our Series E convertible preferred share financing, proceeds from the exercise of the Series E-1 warrant, and proceeds from our IPO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jc w:val="center"/>
              <w:ind w:right="501"/>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r>
      <w:tr>
        <w:trPr>
          <w:trHeight w:val="179"/>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45"/>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 Change</w:t>
            </w: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179"/>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2"/>
          </w:tcPr>
          <w:p>
            <w:pPr>
              <w:jc w:val="center"/>
              <w:ind w:right="501"/>
              <w:spacing w:after="0"/>
              <w:rPr>
                <w:sz w:val="20"/>
                <w:szCs w:val="20"/>
                <w:color w:val="auto"/>
              </w:rPr>
            </w:pPr>
            <w:r>
              <w:rPr>
                <w:rFonts w:ascii="Arial" w:cs="Arial" w:eastAsia="Arial" w:hAnsi="Arial"/>
                <w:sz w:val="14"/>
                <w:szCs w:val="14"/>
                <w:b w:val="1"/>
                <w:bCs w:val="1"/>
                <w:color w:val="auto"/>
                <w:w w:val="99"/>
              </w:rPr>
              <w:t>(dollars in thousands)</w:t>
            </w:r>
          </w:p>
        </w:tc>
        <w:tc>
          <w:tcPr>
            <w:tcW w:w="1300" w:type="dxa"/>
            <w:vAlign w:val="bottom"/>
          </w:tcPr>
          <w:p>
            <w:pPr>
              <w:spacing w:after="0"/>
              <w:rPr>
                <w:sz w:val="15"/>
                <w:szCs w:val="15"/>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(3,609)  $</w:t>
            </w:r>
          </w:p>
        </w:tc>
        <w:tc>
          <w:tcPr>
            <w:tcW w:w="142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(118,911)</w:t>
            </w:r>
          </w:p>
        </w:tc>
        <w:tc>
          <w:tcPr>
            <w:tcW w:w="130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6"/>
              </w:rPr>
              <w:t>N/M</w:t>
            </w:r>
          </w:p>
        </w:tc>
      </w:tr>
      <w:tr>
        <w:trPr>
          <w:trHeight w:val="28"/>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rPr>
          <w:sz w:val="20"/>
          <w:szCs w:val="20"/>
          <w:color w:val="auto"/>
        </w:rPr>
      </w:pPr>
      <w:r>
        <w:rPr>
          <w:rFonts w:ascii="Arial" w:cs="Arial" w:eastAsia="Arial" w:hAnsi="Arial"/>
          <w:sz w:val="14"/>
          <w:szCs w:val="14"/>
          <w:color w:val="auto"/>
        </w:rPr>
        <w:t>*N/M = Not Meaningful</w:t>
      </w:r>
    </w:p>
    <w:p>
      <w:pPr>
        <w:spacing w:after="0" w:line="151" w:lineRule="exact"/>
        <w:rPr>
          <w:sz w:val="20"/>
          <w:szCs w:val="20"/>
          <w:color w:val="auto"/>
        </w:rPr>
      </w:pPr>
    </w:p>
    <w:p>
      <w:pPr>
        <w:ind w:right="780" w:firstLine="318"/>
        <w:spacing w:after="0" w:line="251" w:lineRule="auto"/>
        <w:rPr>
          <w:sz w:val="20"/>
          <w:szCs w:val="20"/>
          <w:color w:val="auto"/>
        </w:rPr>
      </w:pPr>
      <w:r>
        <w:rPr>
          <w:rFonts w:ascii="Arial" w:cs="Arial" w:eastAsia="Arial" w:hAnsi="Arial"/>
          <w:sz w:val="18"/>
          <w:szCs w:val="18"/>
          <w:color w:val="auto"/>
        </w:rPr>
        <w:t>Other income (expense), net decreased by $118.9 million to $122.5 million of net expense for the year ended December 31, 2021 compared to the year ended December 31, 2020. The net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89" w:right="359" w:bottom="1440" w:gutter="0" w:footer="0" w:header="0"/>
        </w:sectPr>
      </w:pPr>
    </w:p>
    <w:bookmarkStart w:id="74" w:name="page75"/>
    <w:bookmarkEnd w:id="74"/>
    <w:p>
      <w:pPr>
        <w:ind w:right="120"/>
        <w:spacing w:after="0" w:line="280" w:lineRule="auto"/>
        <w:rPr>
          <w:sz w:val="20"/>
          <w:szCs w:val="20"/>
          <w:color w:val="auto"/>
        </w:rPr>
      </w:pPr>
      <w:r>
        <w:rPr>
          <w:rFonts w:ascii="Arial" w:cs="Arial" w:eastAsia="Arial" w:hAnsi="Arial"/>
          <w:sz w:val="17"/>
          <w:szCs w:val="17"/>
          <w:color w:val="auto"/>
        </w:rPr>
        <w:t>expense is primarily due to an increase of $116.9 million in remeasurement losses related to our convertible preferred share warrant liabilities and convertible preferred share tranche rights prior to the IPO, and an increase of $1.8 million in net losses from foreign currency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center"/>
              <w:ind w:right="341"/>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79"/>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 Change</w:t>
            </w:r>
          </w:p>
        </w:tc>
      </w:tr>
      <w:tr>
        <w:trPr>
          <w:trHeight w:val="179"/>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4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9"/>
              </w:rPr>
              <w:t>(dollars in thousands)</w:t>
            </w:r>
          </w:p>
        </w:tc>
        <w:tc>
          <w:tcPr>
            <w:tcW w:w="1440" w:type="dxa"/>
            <w:vAlign w:val="bottom"/>
          </w:tcPr>
          <w:p>
            <w:pPr>
              <w:spacing w:after="0"/>
              <w:rPr>
                <w:sz w:val="15"/>
                <w:szCs w:val="15"/>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1,558</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1,075</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483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5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Provision for income taxes increased by $0.5 million, or 45%, for the year ended December 31, 2021 compared to the year ended December 31, 2020. We maintain a full valuation allowance on our Israeli deferred tax assets resulting from carryforward tax losses, capitalized research and development expenses, and other reserves and allowances. The provision for income taxes increased primarily as a result of warrant and tranche rights revaluation, uncertain tax positions and change in valuation allowance. Our effective tax rate was (0.88)% and (10)% of our net profit (loss) before income taxes for the years ended December 31, 2021 and 2020, respectively. Our effective tax rate is affected by tax rates in foreign jurisdictions and the relative amounts of income we earn in those jurisdictions, as well as non-deductible expenses, such as share-based compensation expense, and changes in our valuation allowance.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Currency Fluctuation</w:t>
      </w:r>
    </w:p>
    <w:p>
      <w:pPr>
        <w:spacing w:after="0" w:line="168"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See Item 3D. “</w:t>
      </w:r>
      <w:r>
        <w:rPr>
          <w:rFonts w:ascii="Arial" w:cs="Arial" w:eastAsia="Arial" w:hAnsi="Arial"/>
          <w:sz w:val="18"/>
          <w:szCs w:val="18"/>
          <w:i w:val="1"/>
          <w:iCs w:val="1"/>
          <w:color w:val="auto"/>
        </w:rPr>
        <w:t>Risk Factors—We are exposed to fluctuations in currency exchange rates, which could negatively affect our operating results.</w:t>
      </w:r>
      <w:r>
        <w:rPr>
          <w:rFonts w:ascii="Arial" w:cs="Arial" w:eastAsia="Arial" w:hAnsi="Arial"/>
          <w:sz w:val="18"/>
          <w:szCs w:val="18"/>
          <w:color w:val="auto"/>
        </w:rPr>
        <w:t>” and Item 11. “</w:t>
      </w:r>
      <w:r>
        <w:rPr>
          <w:rFonts w:ascii="Arial" w:cs="Arial" w:eastAsia="Arial" w:hAnsi="Arial"/>
          <w:sz w:val="18"/>
          <w:szCs w:val="18"/>
          <w:i w:val="1"/>
          <w:iCs w:val="1"/>
          <w:color w:val="auto"/>
        </w:rPr>
        <w:t>Quantitative and Qualitative Disclosures About Market Risk-Foreign Currency Exchange Risk</w:t>
      </w:r>
      <w:r>
        <w:rPr>
          <w:rFonts w:ascii="Arial" w:cs="Arial" w:eastAsia="Arial" w:hAnsi="Arial"/>
          <w:sz w:val="18"/>
          <w:szCs w:val="18"/>
          <w:color w:val="auto"/>
        </w:rPr>
        <w: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Liquidity and Capital Resources</w:t>
      </w:r>
    </w:p>
    <w:p>
      <w:pPr>
        <w:spacing w:after="0" w:line="186"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Since our inception, we have financed our operations primarily through issuances of Class A ordinary shares, issuances of convertible preferred shares and warrants, and cash flows from operations. As of December 31, 2021 we have raised $392.3 million from the issuance of Class A ordinary shares, net of $26.2 million in underwriting discounts and commissions, and an aggregate of $195.2 million, net of issuance costs of $4.3 million, through sales of convertible preferred shares and warrants.</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principal uses of cash in recent periods has been funding our operations, net purchases of short-term deposits, and investing in our business. As of December 31, 2021, our principal sources of liquidity were cash, cash equivalents, and short-term deposits of $503.3 million which were held for working capital purposes. Cash and cash equivalents consist of cash in banks and bank deposits. Short-term deposits consist of deposits that mature within one year. We believe our cash, cash equivalents, and short-term deposits, together with cash we expect to generate from future operations, will be sufficient to meet our working capital and capital expenditure requirements for a period of at least twelve months from the date of this Annual Report. However, because we are in the growth stage of our business,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w:t>
      </w:r>
    </w:p>
    <w:p>
      <w:pPr>
        <w:spacing w:after="0" w:line="157" w:lineRule="exact"/>
        <w:rPr>
          <w:sz w:val="20"/>
          <w:szCs w:val="20"/>
          <w:color w:val="auto"/>
        </w:rPr>
      </w:pPr>
    </w:p>
    <w:p>
      <w:pPr>
        <w:jc w:val="both"/>
        <w:ind w:right="300" w:firstLine="318"/>
        <w:spacing w:after="0" w:line="248" w:lineRule="auto"/>
        <w:rPr>
          <w:sz w:val="20"/>
          <w:szCs w:val="20"/>
          <w:color w:val="auto"/>
        </w:rPr>
      </w:pPr>
      <w:r>
        <w:rPr>
          <w:rFonts w:ascii="Arial" w:cs="Arial" w:eastAsia="Arial" w:hAnsi="Arial"/>
          <w:sz w:val="18"/>
          <w:szCs w:val="18"/>
          <w:color w:val="auto"/>
        </w:rPr>
        <w:t>Our future capital requirements will depend on many factors including our revenue growth rate, chargeback expenses, merchant churn, regulatory developments, the market acceptance and demand for our offering, international expansion efforts, and the investments we make that support our business.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5" w:name="page76"/>
    <w:bookmarkEnd w:id="75"/>
    <w:p>
      <w:pPr>
        <w:ind w:right="40"/>
        <w:spacing w:after="0" w:line="246" w:lineRule="auto"/>
        <w:rPr>
          <w:sz w:val="20"/>
          <w:szCs w:val="20"/>
          <w:color w:val="auto"/>
        </w:rPr>
      </w:pPr>
      <w:r>
        <w:rPr>
          <w:rFonts w:ascii="Arial" w:cs="Arial" w:eastAsia="Arial" w:hAnsi="Arial"/>
          <w:sz w:val="18"/>
          <w:szCs w:val="18"/>
          <w:color w:val="auto"/>
        </w:rPr>
        <w:t>may in the future enter into arrangements to acquire or invest in complementary businesses, services, and technologies, including intellectual property rights. If we are unable to obtain adequate financing or financing on terms satisfactory to us, when we require it, our ability to continue to grow or support our business and to respond to business challenges could be significantly limited. In particular, the widespread COVID-19 pandemic, including variants, has resulted in, and may continue to result in, significant disruption of global financial markets, reducing our ability to access capital. If we are unable to raise additional funds when or on the terms desired, our business, financial condition and results of operation could be adversely affected.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Year Ended December 31,</w:t>
            </w:r>
          </w:p>
        </w:tc>
      </w:tr>
      <w:tr>
        <w:trPr>
          <w:trHeight w:val="179"/>
        </w:trPr>
        <w:tc>
          <w:tcPr>
            <w:tcW w:w="8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03"/>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Cash Flows Data:</w:t>
            </w:r>
          </w:p>
        </w:tc>
        <w:tc>
          <w:tcPr>
            <w:tcW w:w="36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28"/>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(84,441)</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(16,961)</w:t>
            </w: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423,189</w:t>
            </w: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6"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Our largest source of operating cash flows are from revenues we earn from our merchants. Our largest use of cash from operating activities is for compensation and benefits related costs, hosting and software fees, professional service fees, marketing and advertising related costs, and overhead costs including rent and utilities.</w:t>
      </w:r>
    </w:p>
    <w:p>
      <w:pPr>
        <w:spacing w:after="0" w:line="153"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reported net cash used in operating activities of $20.3 million for the year ended December 31, 2021, compared to $3.1 million for the year ended December 31, 2020, representing an increase of $17.2 million in cash used in operating activities. The increase in operating cash outflows was driven by decreases in net profit (loss) adjusted for non-cash items of $21.1 million, partially offset by favorable changes in operating assets and liabilities of $4.0 million, primarily driven by the growth in our business and the timing of certain cash receipts and payments.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6" w:lineRule="exact"/>
        <w:rPr>
          <w:sz w:val="20"/>
          <w:szCs w:val="20"/>
          <w:color w:val="auto"/>
        </w:rPr>
      </w:pPr>
    </w:p>
    <w:p>
      <w:pPr>
        <w:ind w:right="380" w:firstLine="318"/>
        <w:spacing w:after="0" w:line="251" w:lineRule="auto"/>
        <w:rPr>
          <w:sz w:val="20"/>
          <w:szCs w:val="20"/>
          <w:color w:val="auto"/>
        </w:rPr>
      </w:pPr>
      <w:r>
        <w:rPr>
          <w:rFonts w:ascii="Arial" w:cs="Arial" w:eastAsia="Arial" w:hAnsi="Arial"/>
          <w:sz w:val="18"/>
          <w:szCs w:val="18"/>
          <w:color w:val="auto"/>
        </w:rPr>
        <w:t>Investing activities consists primarily of investments in and maturities of short-term deposits, purchases of property and equipment, and payments of capitalized software development costs.</w:t>
      </w:r>
    </w:p>
    <w:p>
      <w:pPr>
        <w:spacing w:after="0" w:line="15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reported net cash used in investing activities of $84.4 million for the year ended December 31, 2021, compared to $17.0 million for the year ended December 31, 2020, representing an increase of $67.4 million in cash used in investing activities. This increase in cash used in investing activities was primarily attributable to an increase in purchases of short-term deposits of $96.0 million, and an increase of $10.7 million in purchases of property and equipment, primarily related to the build-out of our new office in Tel Aviv to meet the needs of our growing business. These increases in cash used in investing activities were partially offset by maturities of short-term deposits of $39.1 million and a decrease of $0.2 million in payments of capitalized software development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6"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Financing activities consists primarily of proceeds we received from the IPO, proceeds from the issuance of convertible preferred shares and warrants, and payments of deferred offering costs.</w:t>
      </w:r>
    </w:p>
    <w:p>
      <w:pPr>
        <w:spacing w:after="0" w:line="150"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reported net cash provided by financing activities of $423.2 million for the year ended December 31, 2021, compared to $54.0 million for the year ended December 31, 2020, representing an increase of $369.2 million in cash provided by financing activities. This increase in cash provided by financing activities was primarily attributable to net IPO proceeds of $392.3 million, an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6" w:name="page77"/>
    <w:bookmarkEnd w:id="76"/>
    <w:p>
      <w:pPr>
        <w:jc w:val="both"/>
        <w:ind w:right="480"/>
        <w:spacing w:after="0" w:line="248" w:lineRule="auto"/>
        <w:rPr>
          <w:sz w:val="20"/>
          <w:szCs w:val="20"/>
          <w:color w:val="auto"/>
        </w:rPr>
      </w:pPr>
      <w:r>
        <w:rPr>
          <w:rFonts w:ascii="Arial" w:cs="Arial" w:eastAsia="Arial" w:hAnsi="Arial"/>
          <w:sz w:val="18"/>
          <w:szCs w:val="18"/>
          <w:color w:val="auto"/>
        </w:rPr>
        <w:t>proceeds from the cash exercise of series E-1 convertible preferred share warrants of $6.5 million, and an increase in proceeds from the exercise of share options of $2.3 million. These increases were partially offset by a decrease in proceeds from the issuance of convertible preferred shares and warrants of $26.8 million and an increase in payments of deferred offering costs of $5.1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have various non-cancelable operating leases for our corporate offices in Tel Aviv in Israel and in New York City in the United States. The leases for these facilities in Tel Aviv and New York City expire in 2031 and 2029, respectively. As of December 31, 2021, we had fixed future minimum lease payments of $56.0 million, of which $7.0 million is due in the next twelve months. We expect to incur additional capital expenditures of approximately $4.0 million over the next twelve months relating to the completion of the build-out of our new headquarters in Tel Aviv.</w:t>
      </w:r>
    </w:p>
    <w:p>
      <w:pPr>
        <w:spacing w:after="0" w:line="15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Excluded from the future minimum lease payments discussed above is an unsecured and undated promissory note issued in December 2020 in connection with the execution of a lease agreement for an amount of $3.3 million and $3.2 million as of December 31, 2021 and December 31, 2020, respectively. The promissory note may only be withdrawn in the event of a material and fundamental breach of the lease agreement. The promissory note expires three months after the lease termination date. As of December 31, 2021 and December 31, 2020, we were in full compliance of the terms and conditions of the promissory note, and the promissory note has not been withdrawn.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86"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In the ordinary course of business, we enter into purchase orders with vendors for the purchase of goods and services, including non-cancelable agreements for software licenses. As of December 31, 2021, we had non-cancelable purchase obligations with a remaining term in excess of twelve months of $2.0 million, of which $1.3 million is due in the next twelve months.</w:t>
      </w:r>
    </w:p>
    <w:p>
      <w:pPr>
        <w:spacing w:after="0" w:line="153"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For more information on our operating leases and other commitments, please refer to “Guarantees, Commitments, and Contingencies” in Note 7 of our consolidated financial statements included elsewhere in this Annual Report.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research and development activities are primarily located in Israel. Research and development expenses primarily consist of compensation and benefits related costs, including share-based compensation expense associated with research and development teams that are responsible for the design, development, and testing of our eCommerce risk management platform infrastructure, including expenses associated with adding new features, increasing the functionality, and enhancing the usability of our platform. Research and development expenses also include investments we are making in new products, as well as third-party hosting fees and software costs used by our research and development teams, overhead costs, and depreciation expense.</w:t>
      </w:r>
    </w:p>
    <w:p>
      <w:pPr>
        <w:spacing w:after="0" w:line="158"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For the years ended December 31, 2021, 2020, and 2019, research and development costs accounted for approximately 24%, 22%, and 19% of our total revenue, respectively. Research and development costs are expensed as incurred, except to the extent that such costs are associated with internal-use software that qualifies for capitalization.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 Trend Information</w:t>
      </w:r>
    </w:p>
    <w:p>
      <w:pPr>
        <w:spacing w:after="0" w:line="168" w:lineRule="exact"/>
        <w:rPr>
          <w:sz w:val="20"/>
          <w:szCs w:val="20"/>
          <w:color w:val="auto"/>
        </w:rPr>
      </w:pPr>
    </w:p>
    <w:p>
      <w:pPr>
        <w:ind w:right="260" w:firstLine="318"/>
        <w:spacing w:after="0" w:line="281" w:lineRule="auto"/>
        <w:rPr>
          <w:sz w:val="20"/>
          <w:szCs w:val="20"/>
          <w:color w:val="auto"/>
        </w:rPr>
      </w:pPr>
      <w:r>
        <w:rPr>
          <w:rFonts w:ascii="Arial" w:cs="Arial" w:eastAsia="Arial" w:hAnsi="Arial"/>
          <w:sz w:val="17"/>
          <w:szCs w:val="17"/>
          <w:color w:val="auto"/>
        </w:rPr>
        <w:t>Other than as described in Item 3.D.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in Item 5.A. " </w:t>
      </w:r>
      <w:r>
        <w:rPr>
          <w:rFonts w:ascii="Arial" w:cs="Arial" w:eastAsia="Arial" w:hAnsi="Arial"/>
          <w:sz w:val="17"/>
          <w:szCs w:val="17"/>
          <w:i w:val="1"/>
          <w:iCs w:val="1"/>
          <w:color w:val="auto"/>
        </w:rPr>
        <w:t>Operating Results—Factors Affecting Our Performance</w:t>
      </w:r>
      <w:r>
        <w:rPr>
          <w:rFonts w:ascii="Arial" w:cs="Arial" w:eastAsia="Arial" w:hAnsi="Arial"/>
          <w:sz w:val="17"/>
          <w:szCs w:val="17"/>
          <w:color w:val="auto"/>
        </w:rPr>
        <w:t>" of this Annual Report, which are incorporated by reference herein, we are not aware of any trends, uncertainties, demands, commitments or events that are reasonably likely to have a material effect on our net revenues, income from operations, profitability, liquidity or capital resources,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77" w:name="page78"/>
    <w:bookmarkEnd w:id="77"/>
    <w:p>
      <w:pPr>
        <w:ind w:right="900"/>
        <w:spacing w:after="0" w:line="430" w:lineRule="auto"/>
        <w:rPr>
          <w:sz w:val="20"/>
          <w:szCs w:val="20"/>
          <w:color w:val="auto"/>
        </w:rPr>
      </w:pPr>
      <w:r>
        <w:rPr>
          <w:rFonts w:ascii="Arial" w:cs="Arial" w:eastAsia="Arial" w:hAnsi="Arial"/>
          <w:sz w:val="18"/>
          <w:szCs w:val="18"/>
          <w:color w:val="auto"/>
        </w:rPr>
        <w:t xml:space="preserve">that would cause the disclosed financial information to be not necessarily indicative of future operating results or financial condition. </w:t>
      </w:r>
      <w:r>
        <w:rPr>
          <w:rFonts w:ascii="Arial" w:cs="Arial" w:eastAsia="Arial" w:hAnsi="Arial"/>
          <w:sz w:val="18"/>
          <w:szCs w:val="18"/>
          <w:b w:val="1"/>
          <w:bCs w:val="1"/>
          <w:color w:val="auto"/>
        </w:rPr>
        <w:t>E. Critical Accounting Policies and Estimates</w:t>
      </w:r>
    </w:p>
    <w:p>
      <w:pPr>
        <w:ind w:right="80" w:firstLine="318"/>
        <w:spacing w:after="0" w:line="246"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We considered the impact of COVID-19 on our estimates and assumptions and determined that there were no material adverse impacts on our audited consolidated financial statements for the year ended December 31, 2021. As events continue to evolve and additional information becomes available, our estimates and assumptions may change materially in future periods.</w:t>
      </w:r>
    </w:p>
    <w:p>
      <w:pPr>
        <w:spacing w:after="0" w:line="158" w:lineRule="exact"/>
        <w:rPr>
          <w:sz w:val="20"/>
          <w:szCs w:val="20"/>
          <w:color w:val="auto"/>
        </w:rPr>
      </w:pPr>
    </w:p>
    <w:p>
      <w:pPr>
        <w:ind w:right="580" w:firstLine="318"/>
        <w:spacing w:after="0" w:line="251" w:lineRule="auto"/>
        <w:rPr>
          <w:sz w:val="20"/>
          <w:szCs w:val="20"/>
          <w:color w:val="auto"/>
        </w:rPr>
      </w:pPr>
      <w:r>
        <w:rPr>
          <w:rFonts w:ascii="Arial" w:cs="Arial" w:eastAsia="Arial" w:hAnsi="Arial"/>
          <w:sz w:val="18"/>
          <w:szCs w:val="18"/>
          <w:color w:val="auto"/>
        </w:rPr>
        <w:t>The critical accounting policies and estimates, assumptions, and judgments that we believe have the most significant impact on our consolidated financial statements are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Guarantees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 xml:space="preserve">We provide contractual assurances around the accuracy of our approvals so that our merchants can confidently automate a transaction’s execution. Our contracts obligate us to stand ready to indemnify our merchants for any costs incurred from a chargeback due to fraud (i.e., the “guarantee obligation”). Accordingly, we account for the guarantee obligation as an indemnification under the general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or ASC 460, and recognize a liability at fair value upon approving a transaction at an amount that represents what we would need</w:t>
      </w:r>
      <w:r>
        <w:rPr>
          <w:rFonts w:ascii="Arial" w:cs="Arial" w:eastAsia="Arial" w:hAnsi="Arial"/>
          <w:sz w:val="18"/>
          <w:szCs w:val="18"/>
          <w:i w:val="1"/>
          <w:iCs w:val="1"/>
          <w:color w:val="auto"/>
        </w:rPr>
        <w:t xml:space="preserve"> </w:t>
      </w:r>
      <w:r>
        <w:rPr>
          <w:rFonts w:ascii="Arial" w:cs="Arial" w:eastAsia="Arial" w:hAnsi="Arial"/>
          <w:sz w:val="18"/>
          <w:szCs w:val="18"/>
          <w:color w:val="auto"/>
        </w:rPr>
        <w:t>to pay a third party to relieve ourselves from this obligation.</w:t>
      </w:r>
    </w:p>
    <w:p>
      <w:pPr>
        <w:spacing w:after="0" w:line="15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 Indemnification guarantees are recorded at fair value when issued and are not remeasured to fair value each period. The determination of the fair value of our indemnification guarantees requires the use of various inputs and assumptions which include the following:</w:t>
      </w:r>
    </w:p>
    <w:p>
      <w:pPr>
        <w:spacing w:after="0" w:line="122" w:lineRule="exact"/>
        <w:rPr>
          <w:sz w:val="20"/>
          <w:szCs w:val="20"/>
          <w:color w:val="auto"/>
        </w:rPr>
      </w:pPr>
    </w:p>
    <w:p>
      <w:pPr>
        <w:jc w:val="both"/>
        <w:ind w:left="640" w:right="280" w:hanging="316"/>
        <w:spacing w:after="0" w:line="259"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Estimated chargebacks as a percentage of Billings: </w:t>
      </w:r>
      <w:r>
        <w:rPr>
          <w:rFonts w:ascii="Arial" w:cs="Arial" w:eastAsia="Arial" w:hAnsi="Arial"/>
          <w:sz w:val="18"/>
          <w:szCs w:val="18"/>
          <w:color w:val="auto"/>
        </w:rPr>
        <w:t>Calculated based on actual historical chargebacks incurred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Historical company-specific chargeback guarantee claims are not readily observable in the marketplace and thus include a level of variability. This input has the greatest impact on the overall fair value of the guarantee.</w:t>
      </w:r>
    </w:p>
    <w:p>
      <w:pPr>
        <w:spacing w:after="0" w:line="124" w:lineRule="exact"/>
        <w:rPr>
          <w:rFonts w:ascii="Arial" w:cs="Arial" w:eastAsia="Arial" w:hAnsi="Arial"/>
          <w:sz w:val="18"/>
          <w:szCs w:val="18"/>
          <w:color w:val="auto"/>
        </w:rPr>
      </w:pPr>
    </w:p>
    <w:p>
      <w:pPr>
        <w:ind w:left="640" w:hanging="316"/>
        <w:spacing w:after="0" w:line="252"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Risk premium fee: </w:t>
      </w:r>
      <w:r>
        <w:rPr>
          <w:rFonts w:ascii="Arial" w:cs="Arial" w:eastAsia="Arial" w:hAnsi="Arial"/>
          <w:sz w:val="18"/>
          <w:szCs w:val="18"/>
          <w:color w:val="auto"/>
        </w:rPr>
        <w:t>Represents the fee that we would have incurred from a third-party in order to relieve ourselves from our legal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 the guarantee. We primarily use observable inputs and methodologies with a limited amount of judgment and assumptions. For example, we consider the adjusted EBITDA margin of unrelated public companies in the property casualty and multi-line insurance industry as a benchmark for the implied risk premium that an insurer would charge over the expected costs of insuring the guarantee.</w:t>
      </w:r>
    </w:p>
    <w:p>
      <w:pPr>
        <w:spacing w:after="0" w:line="132" w:lineRule="exact"/>
        <w:rPr>
          <w:rFonts w:ascii="Arial" w:cs="Arial" w:eastAsia="Arial" w:hAnsi="Arial"/>
          <w:sz w:val="18"/>
          <w:szCs w:val="18"/>
          <w:color w:val="auto"/>
        </w:rPr>
      </w:pPr>
    </w:p>
    <w:p>
      <w:pPr>
        <w:jc w:val="both"/>
        <w:ind w:left="640" w:right="60" w:hanging="316"/>
        <w:spacing w:after="0" w:line="259"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w:t>
      </w:r>
      <w:r>
        <w:rPr>
          <w:rFonts w:ascii="Arial" w:cs="Arial" w:eastAsia="Arial" w:hAnsi="Arial"/>
          <w:sz w:val="18"/>
          <w:szCs w:val="18"/>
          <w:color w:val="auto"/>
        </w:rPr>
        <w:t>Utilized to determine the present value of chargeback payments and encompasses the time period in which guarantees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resolved as well as our incremental borrowing cost. We mainly use observable inputs and methodologies with a limited amount of judgment and assumptions, such as U.S. corporate bond yields.</w:t>
      </w:r>
    </w:p>
    <w:p>
      <w:pPr>
        <w:spacing w:after="0" w:line="143"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The assumptions and estimates involved in calculating the fair value of our indemnification guarantees, as well as the determination of a systematic and rational amortization method for recognition of our guarantee obligations as revenue, involve inherent uncertainties and the application of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11" w:right="439" w:bottom="1440" w:gutter="0" w:footer="0" w:header="0"/>
        </w:sectPr>
      </w:pPr>
    </w:p>
    <w:bookmarkStart w:id="78" w:name="page79"/>
    <w:bookmarkEnd w:id="78"/>
    <w:p>
      <w:pPr>
        <w:ind w:right="180"/>
        <w:spacing w:after="0" w:line="247" w:lineRule="auto"/>
        <w:rPr>
          <w:sz w:val="20"/>
          <w:szCs w:val="20"/>
          <w:color w:val="auto"/>
        </w:rPr>
      </w:pPr>
      <w:r>
        <w:rPr>
          <w:rFonts w:ascii="Arial" w:cs="Arial" w:eastAsia="Arial" w:hAnsi="Arial"/>
          <w:sz w:val="18"/>
          <w:szCs w:val="18"/>
          <w:color w:val="auto"/>
        </w:rPr>
        <w:t>judgment. We will continue to use judgment in evaluating the assumptions related to our indemnification guarantees, and we may refine our estimation process as we continue to accumulate additional data, which could materially impact the timing of our revenue recognition for transactions approved in future periods. For the periods presented, a 10% change in the inputs and assumptions, as well as a 10% change in the systematic and rational amortization method, would not have materially impacted our results of operations. Please refer to Note 7 of our consolidated financial statements included elsewhere in this Annual Report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Chargebacks</w:t>
      </w:r>
    </w:p>
    <w:p>
      <w:pPr>
        <w:spacing w:after="0" w:line="186"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 xml:space="preserve">Our provision for chargebacks includes amounts associated with chargebacks that have been submitted and accepted but not yet paid by us as of the balance sheet date and estimates of chargebacks that have not yet been submitted and accepted relating to approved transactions that are accounted for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or ASC 450.</w:t>
      </w:r>
    </w:p>
    <w:p>
      <w:pPr>
        <w:spacing w:after="0" w:line="153"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Inputs and assumptions used by management to calculate the provision are based on the transactions approved and the features of those transactions as well as historical information about chargebacks.</w:t>
      </w:r>
    </w:p>
    <w:p>
      <w:pPr>
        <w:spacing w:after="0" w:line="155"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As we continue to accumulate data related to chargebacks, we may refine our estimates, which could materially impact our cost of revenue. It is possible that the estimate may change in the near term, and the effect of the change could be material. For the periods presented, a 10% change in the inputs and assumptions would not have materially impacted our results of operations. Please refer to Note 7 of our consolidated financial statements included elsewhere in this Annual Report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86" w:lineRule="exact"/>
        <w:rPr>
          <w:sz w:val="20"/>
          <w:szCs w:val="20"/>
          <w:color w:val="auto"/>
        </w:rPr>
      </w:pPr>
    </w:p>
    <w:p>
      <w:pPr>
        <w:ind w:right="340" w:firstLine="318"/>
        <w:spacing w:after="0" w:line="247" w:lineRule="auto"/>
        <w:rPr>
          <w:sz w:val="20"/>
          <w:szCs w:val="20"/>
          <w:color w:val="auto"/>
        </w:rPr>
      </w:pPr>
      <w:r>
        <w:rPr>
          <w:rFonts w:ascii="Arial" w:cs="Arial" w:eastAsia="Arial" w:hAnsi="Arial"/>
          <w:sz w:val="18"/>
          <w:szCs w:val="18"/>
          <w:color w:val="auto"/>
        </w:rPr>
        <w:t>We capitalize sales commissions and associated payroll taxes paid that are incremental to the acquisition of merchant contracts.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spacing w:after="0" w:line="15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Sales commissions for the renewal of a contract are not considered commensurate with the sales commissions paid for the acquisition of the initial contract given a substantive difference in commission rates in proportion to their respective contract values. Sales commissions paid for the renewal of a contract are amortized over the contractual term of the renewal. Sales commissions paid upon the initial acquisition of a merchant contract are amortized over an estimated period of benefit of four years.</w:t>
      </w:r>
    </w:p>
    <w:p>
      <w:pPr>
        <w:spacing w:after="0" w:line="15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determine the period of benefit for sales commissions paid for the acquisition of the initial merchant contract by taking into consideration the estimated customer life, technological life of our software, and other factors. These factors involved in the determination of the period of benefit include inherent uncertainties and the application of significant judgment.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Fulfill a Contract</w:t>
      </w:r>
    </w:p>
    <w:p>
      <w:pPr>
        <w:spacing w:after="0" w:line="186"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We capitalize certain integration services required in order to be able to fulfill the obligation to provide our products to our merchants. Integration services are promises that are not capable of being distinct. These costs are capitalized to the extent they are directly related to a contract, are recoverable, and generate or enhance resources that will be used in delivering our SaaS products.</w:t>
      </w:r>
    </w:p>
    <w:p>
      <w:pPr>
        <w:spacing w:after="0" w:line="153"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Capitalized costs to fulfill a contract are amortized on a straight-line basis over the expected period of benefit of four years and are included in cost of revenue in the consolidated statements of operations. We determine the period of benefit by taking into consideration the estimated customer life, technological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79" w:name="page80"/>
    <w:bookmarkEnd w:id="79"/>
    <w:p>
      <w:pPr>
        <w:ind w:right="700"/>
        <w:spacing w:after="0" w:line="251" w:lineRule="auto"/>
        <w:rPr>
          <w:sz w:val="20"/>
          <w:szCs w:val="20"/>
          <w:color w:val="auto"/>
        </w:rPr>
      </w:pPr>
      <w:r>
        <w:rPr>
          <w:rFonts w:ascii="Arial" w:cs="Arial" w:eastAsia="Arial" w:hAnsi="Arial"/>
          <w:sz w:val="18"/>
          <w:szCs w:val="18"/>
          <w:color w:val="auto"/>
        </w:rPr>
        <w:t>of our software, and other factors. These factors involved in the determination of period of benefit involve inherent uncertainties and the application of significant judgment.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Share-based compensation expense related to share-based awards is recognized based on the fair value of the awards granted. The fair value of each share option award is estimated on the grant date using the Black-Scholes option-pricing model. The Black-Scholes option-pricing model requires the input of highly subjective assumptions, including the fair value of the underlying ordinary shares, the expected term of the share option, the expected volatility of the price of our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If factors change and different assumptions are used, our share-based compensation expense could be materially different in future periods.</w:t>
      </w:r>
    </w:p>
    <w:p>
      <w:pPr>
        <w:spacing w:after="0" w:line="15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have granted to employees, RSUs, that vest either upon the (a) satisfaction of service-based vesting conditions only and (b) satisfaction of both service-based and performance-based vesting conditions. The fair value of each RSU award is based on the fair value of the underlying ordinary shares as of the grant date. We have also granted to our Chief Executive Officer (“CEO”), RSUs, that vest upon the satisfaction of service-based, performance-based, and market-based vesting conditions. A Monte-Carlo simulation model was used to determine the grant date fair value by simulating a range of scenarios with each outcome resulting in a determined value. The grant date fair value of this award is the average of the values determined by each simulation. The simulation was also used to derive the requisite service period.</w:t>
      </w:r>
    </w:p>
    <w:p>
      <w:pPr>
        <w:spacing w:after="0" w:line="141"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will continue to use judgment in evaluating the assumptions related to our share-based compensation. As we continue to accumulate additional data related to our ordinary shares, we may make refinements to our estimates, which could materially impact our future share-based compensation expense. These estimates involved in calculating the fair value of our share options include inherent uncertainties and the application of significant judgment.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 Valuations</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 xml:space="preserve">Prior to IPO, the fair value of the ordinary shares underlying our share-based awards had historically been determined by our board of directors, with input from management and corroboration from contemporaneous third-party valuations. Given the absence of a public trading market for our ordinary shares, and in accordance with the American Institute of Certified Public Accountants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 Company Equity Securities Issued as Compensation</w:t>
      </w:r>
      <w:r>
        <w:rPr>
          <w:rFonts w:ascii="Arial" w:cs="Arial" w:eastAsia="Arial" w:hAnsi="Arial"/>
          <w:sz w:val="18"/>
          <w:szCs w:val="18"/>
          <w:color w:val="auto"/>
        </w:rPr>
        <w:t>, our board of directors exercised reasonable judgment and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numerous objective and subjective factors to determine the best estimate of the fair value of our ordinary shares at each grant date prior to IPO. These factors included, but were not limited to:</w:t>
      </w:r>
    </w:p>
    <w:p>
      <w:pPr>
        <w:spacing w:after="0" w:line="158"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contemporaneous valuations of our ordinary shares performed by independent third-party specialists;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shares relative to those of our ordinary shares;</w:t>
      </w:r>
    </w:p>
    <w:p>
      <w:pPr>
        <w:spacing w:after="0" w:line="164"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prices paid for ordinary shares or convertible preferred shares sold to third-party investors by us and the prices paid in secondary transactions for our ordinary shares in arm’s-length transactions;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marketability inherent in our ordinary shares;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0" w:name="page81"/>
    <w:bookmarkEnd w:id="80"/>
    <w:p>
      <w:pPr>
        <w:ind w:left="640" w:right="40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a merger, or acquisition of our company given prevailing market conditions;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general economic conditions and our industry outlook.</w:t>
      </w:r>
    </w:p>
    <w:p>
      <w:pPr>
        <w:spacing w:after="0" w:line="164"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Immediately prior to IPO, our ordinary share valuations were based on a combination of inputs from secondary transactions involving our ordinary shares and the income approach with input from management. The income approach uses valuation techniques to estimate value based on an expected stream of benefits, such as earnings or cash flow.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154"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Immediately prior to IPO, the fair value of our business determined using the aforementioned approach was then allocated to the ordinary shares using a probability-weighted expected return method, or PWERM, to allocate value to the ordinary shares. The PWERM involves the estimation of the value of our company under multiple future potential outcomes and estimates the probability of each potential outcome. After the equity value was determined and allocated to the various classes of shares, a discount for lack of marketability, or DLOM, was applied to arrive at the fair value of ordinary shares on a non-marketable basis.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44"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Prior to IPO, the application of these approaches and methodologies involved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ordinary shares.</w:t>
      </w:r>
    </w:p>
    <w:p>
      <w:pPr>
        <w:spacing w:after="0" w:line="154"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Prior to IPO, we considered the amount of time between the valuation date and the grant date to determine whether to use the latest ordinary share valuation determined pursuant to the method described above or a straight-line calculation between two valuation dates. This determination included an evaluation of whether the subsequent valuation indicated that any significant change in valuation had occurred between the previous valuation and the grant date.</w:t>
      </w:r>
    </w:p>
    <w:p>
      <w:pPr>
        <w:spacing w:after="0" w:line="155"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After the closing of our IPO during the third quarter of 2021, the fair value of our ordinary shares is the closing price of our ordinary shares as reported on the date of grant. Future expense amounts for any particular period could be affected by changes in our assumptions or market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Shares Warrants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Prior to IPO, using the Black-Scholes option-pricing model, our convertible preferred share warrants were remeasured to fair value at the end of each reporting period until the earlier of the exercise of the warrants, the expiration of the warrants, or upon the completion of a qualified IPO. Upon IPO, the Series B/C convertible preferred share warrants were converted to warrants to purchase ordinary shares. The warrants to purchase ordinary shares may be exercised any time prior to, and shall expire upon, the earlier of (a) April 29, 2025 or (b) immediately prior to the consummation of certain deemed liquidation events. Upon IPO, the Series E-1 convertible preferred share warrants were automatically exercised.</w:t>
      </w:r>
    </w:p>
    <w:p>
      <w:pPr>
        <w:spacing w:after="0" w:line="158"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The application of the Black-Scholes option-pricing model involves assumptions and estimates that are used to value the convertible preferred share warrants. Estimates and assumptions impacting the fair value measurement of the convertible preferred share warrant liability include the fair value per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11" w:right="419" w:bottom="1440" w:gutter="0" w:footer="0" w:header="0"/>
        </w:sectPr>
      </w:pPr>
    </w:p>
    <w:bookmarkStart w:id="81" w:name="page82"/>
    <w:bookmarkEnd w:id="81"/>
    <w:p>
      <w:pPr>
        <w:ind w:right="200"/>
        <w:spacing w:after="0" w:line="251" w:lineRule="auto"/>
        <w:rPr>
          <w:sz w:val="20"/>
          <w:szCs w:val="20"/>
          <w:color w:val="auto"/>
        </w:rPr>
      </w:pPr>
      <w:r>
        <w:rPr>
          <w:rFonts w:ascii="Arial" w:cs="Arial" w:eastAsia="Arial" w:hAnsi="Arial"/>
          <w:sz w:val="18"/>
          <w:szCs w:val="18"/>
          <w:color w:val="auto"/>
        </w:rPr>
        <w:t>the underlying class of convertible preferred shares, the term of the instrument, the risk-free interest rate, the expected dividend yield, and the expected volatility of our shares.</w:t>
      </w:r>
    </w:p>
    <w:p>
      <w:pPr>
        <w:spacing w:after="0" w:line="150"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most significant assumption impacting the fair value of the convertible preferred share warrant liabilities is the fair value of the underlying class of convertible preferred shares as of each measurement date. Prior to IPO, we determined the fair value per share by taking into consideration the most recent sales of our convertible preferred shares, results obtained from third-party valuations, and additional factors we deemed relevant. Estimates of expected term were based on the remaining contractual period of the warrants. Estimates of the volatility for the Black-Scholes option-pricing model were based on the volatility of the respective convertible preferred shares. The risk-free interest rates were based on the U.S. Treasury yield for a term consistent with the estimated expected terms. We have never declared or paid any cash dividends and do not presently plan to pay cash dividends in the foreseeable future. As a result, an expected dividend yield of zero percent was used.</w:t>
      </w:r>
    </w:p>
    <w:p>
      <w:pPr>
        <w:spacing w:after="0" w:line="158"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Prior to IPO, the estimates involved in calculating the fair value of our convertible preferred share warrant liabilities involved inherent uncertainties and the application of significant judgment. We assessed these assumptions and estimates on a quarterly basis as additional information impacting the assumptions was obtained. Please refer to Note 9 of our consolidated financial statements included elsewhere in this Annual Report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 Tranche Rights</w:t>
      </w:r>
    </w:p>
    <w:p>
      <w:pPr>
        <w:spacing w:after="0" w:line="18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Prior to IPO, using a combination of the PWERM and discounted present value model, our outstanding convertible preferred share tranche rights were remeasured to fair value at the end of each reporting period. We selected these models as we believe they are reflective of all significant assumptions that market participants would likely consider in negotiating the transfer of the future tranche rights. Such assumptions include, among other inputs, fair value of underlying preferred shares, time to payments, and risk-free rates.</w:t>
      </w:r>
    </w:p>
    <w:p>
      <w:pPr>
        <w:spacing w:after="0" w:line="15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most significant assumption impacting the fair value of the tranche rights is the fair value of the underlying Series E convertible preferred shares as of each remeasurement date. Prior to IPO, we determined the fair value per share of the underlying Series E convertible preferred shares by taking into consideration the most recent sales of our convertible preferred shares, results obtained from third-party valuations, and additional factors we deem relevant. The risk-free interest rates were based on the U.S. Treasury yield for a term consistent with the estimated expected terms of the preferred share tranche rights.</w:t>
      </w:r>
    </w:p>
    <w:p>
      <w:pPr>
        <w:spacing w:after="0" w:line="154"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Prior to IPO, the estimates involved in calculating the fair value of our convertible preferred share tranche rights involve inherent uncertainties and the application of significant judgment. We assessed these assumptions and estimates on a quarterly basis as additional information impacting the assumptions was obtained. Upon settlement and issuance of the additional Series E convertible preferred shares, the convertible preferred share tranche rights were reclassified from being an asset or liability to convertible preferred shares in the consolidated balance sheets. Upon IPO, the convertible preferred shares automatically converted to ordinary shares. Please refer to Note 8 of our consolidated financial statements included elsewhere in this Annual Report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6" w:lineRule="exact"/>
        <w:rPr>
          <w:sz w:val="20"/>
          <w:szCs w:val="20"/>
          <w:color w:val="auto"/>
        </w:rPr>
      </w:pPr>
    </w:p>
    <w:p>
      <w:pPr>
        <w:ind w:right="280" w:firstLine="318"/>
        <w:spacing w:after="0" w:line="246" w:lineRule="auto"/>
        <w:rPr>
          <w:sz w:val="20"/>
          <w:szCs w:val="20"/>
          <w:color w:val="auto"/>
        </w:rPr>
      </w:pPr>
      <w:r>
        <w:rPr>
          <w:rFonts w:ascii="Arial" w:cs="Arial" w:eastAsia="Arial" w:hAnsi="Arial"/>
          <w:sz w:val="18"/>
          <w:szCs w:val="18"/>
          <w:color w:val="auto"/>
        </w:rPr>
        <w:t xml:space="preserve">We are subject to income taxes in Israel, the United States, and other jurisdictions. These other jurisdictions may have different statutory rates than in Israel. Income taxes are accounted for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tax assets and liabilities are recognized for the future tax consequences attributable to differences between the consolidated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2" w:name="page83"/>
    <w:bookmarkEnd w:id="82"/>
    <w:p>
      <w:pPr>
        <w:ind w:right="440"/>
        <w:spacing w:after="0" w:line="251" w:lineRule="auto"/>
        <w:rPr>
          <w:sz w:val="20"/>
          <w:szCs w:val="20"/>
          <w:color w:val="auto"/>
        </w:rPr>
      </w:pPr>
      <w:r>
        <w:rPr>
          <w:rFonts w:ascii="Arial" w:cs="Arial" w:eastAsia="Arial" w:hAnsi="Arial"/>
          <w:sz w:val="18"/>
          <w:szCs w:val="18"/>
          <w:color w:val="auto"/>
        </w:rPr>
        <w:t>or settled. Valuation allowances are provided when necessary to reduce deferred tax assets to an amount that is more likely than not to be realized.</w:t>
      </w:r>
    </w:p>
    <w:p>
      <w:pPr>
        <w:spacing w:after="0" w:line="150"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w:t>
      </w:r>
    </w:p>
    <w:p>
      <w:pPr>
        <w:spacing w:after="0" w:line="153"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evaluation of the realizability of the deferred tax assets focuses on identifying significant, objective evidence that we will more likely than not be able to realize our deferred tax assets in the future. We record valuation allowances based on an assessment of positive and negative evidence on a jurisdiction-by-jurisdiction basis, which is highly judgmental and requires subjective weighting of such evidence. To make this assessment, we evaluate historical operating results, the existence of cumulative losses in the most recent fiscal years, expectations for future taxable income from each tax-paying component in each tax jurisdiction, the time period over which our temporary differences will reverse and the implementation of feasible and prudent tax planning strategies. If our assumptions and estimates that resulted in our forecast of future taxable income for each tax-paying component prove to be incorrect, we may need to adjust the carrying value of our deferred tax balances. An increase or decrease in the valuation allowance would result in a respective increase or decrease in our effective tax rate in the period the increase or decrease occurs.</w:t>
      </w:r>
    </w:p>
    <w:p>
      <w:pPr>
        <w:spacing w:after="0" w:line="158"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calculation of our income tax liabilities involves dealing with uncertainties in the application of complex domestic and foreign income tax regulations. Unrecognized tax benefits are generated when there are differences between tax positions taken in a tax return and amounts recognized in the consolidated financial statements. 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spacing w:after="0" w:line="15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To the extent we prevail in matters for which liabilities have been established, or are required to pay amounts in excess of our liabilities, our effective income tax rate in a given period could be materially impacted. An unfavorable income tax settlement may require the use of cash and result in an increase in our effective income tax rate in the year it is resolved. A favorable income tax settlement would be recognized as a reduction in the effective income tax rate in the year of resolution. Please refer to Note 11 of our consolidated financial statements included elsewhere in this Annual Report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6"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Please refer to “Summary of Significant Accounting Policies” in Note 2 of our consolidated financial statements included elsewhere in this Annual Report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86" w:lineRule="exact"/>
        <w:rPr>
          <w:sz w:val="20"/>
          <w:szCs w:val="20"/>
          <w:color w:val="auto"/>
        </w:rPr>
      </w:pPr>
    </w:p>
    <w:p>
      <w:pPr>
        <w:ind w:right="120" w:firstLine="318"/>
        <w:spacing w:after="0" w:line="260" w:lineRule="auto"/>
        <w:rPr>
          <w:sz w:val="20"/>
          <w:szCs w:val="20"/>
          <w:color w:val="auto"/>
        </w:rPr>
      </w:pPr>
      <w:r>
        <w:rPr>
          <w:rFonts w:ascii="Arial" w:cs="Arial" w:eastAsia="Arial" w:hAnsi="Arial"/>
          <w:sz w:val="17"/>
          <w:szCs w:val="17"/>
          <w:color w:val="auto"/>
        </w:rPr>
        <w:t>We are an “emerging growth company” pursuant to the provisions of the JOBS Act. We rely on certain reduced reporting and other requirements that are otherwise generally applicable to public companies. As an “emerging growth company,” we are not required to, among other things, (i) provide an auditor’s attestation report on our system of internal controls over financial reporting pursuant to Section 404(b) of the Sarbanes-Oxley Act, which would otherwise be required beginning with our second annual report on Form 20-F,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Section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107 of the JOBS Act provides that an “emerging growth company” can take advantage of the extended transition period provided in Section 7(a)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(2)(B) of the Securities Act for complying with new or revised accounting standards. We have elected to use this extended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3" w:name="page84"/>
    <w:bookmarkEnd w:id="83"/>
    <w:p>
      <w:pPr>
        <w:ind w:right="200"/>
        <w:spacing w:after="0" w:line="260" w:lineRule="auto"/>
        <w:rPr>
          <w:sz w:val="20"/>
          <w:szCs w:val="20"/>
          <w:color w:val="auto"/>
        </w:rPr>
      </w:pPr>
      <w:r>
        <w:rPr>
          <w:rFonts w:ascii="Arial" w:cs="Arial" w:eastAsia="Arial" w:hAnsi="Arial"/>
          <w:sz w:val="17"/>
          <w:szCs w:val="17"/>
          <w:color w:val="auto"/>
        </w:rPr>
        <w:t>period, which allows us to delay adoption of new or revised accounting pronouncements applicable to public companies until such pronouncements are made applicable to private companies, until the earlier of the date we (i) are no longer an “emerging growth company” or</w:t>
      </w:r>
    </w:p>
    <w:p>
      <w:pPr>
        <w:ind w:right="180" w:firstLine="6"/>
        <w:spacing w:after="0" w:line="248"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64" w:lineRule="exact"/>
        <w:rPr>
          <w:sz w:val="20"/>
          <w:szCs w:val="20"/>
          <w:color w:val="auto"/>
        </w:rPr>
      </w:pPr>
    </w:p>
    <w:p>
      <w:pPr>
        <w:ind w:right="7740" w:firstLine="324"/>
        <w:spacing w:after="0" w:line="469" w:lineRule="auto"/>
        <w:tabs>
          <w:tab w:leader="none" w:pos="627"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and Senior Management Executive Officers and Directors</w:t>
      </w:r>
    </w:p>
    <w:p>
      <w:pPr>
        <w:ind w:left="320"/>
        <w:spacing w:after="0"/>
        <w:rPr>
          <w:sz w:val="20"/>
          <w:szCs w:val="20"/>
          <w:color w:val="auto"/>
        </w:rPr>
      </w:pPr>
      <w:r>
        <w:rPr>
          <w:rFonts w:ascii="Arial" w:cs="Arial" w:eastAsia="Arial" w:hAnsi="Arial"/>
          <w:sz w:val="18"/>
          <w:szCs w:val="18"/>
          <w:color w:val="auto"/>
        </w:rPr>
        <w:t>The following table sets forth the name and position of each of our executive officers and directors as of January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Name</w:t>
            </w:r>
          </w:p>
        </w:tc>
        <w:tc>
          <w:tcPr>
            <w:tcW w:w="1860" w:type="dxa"/>
            <w:vAlign w:val="bottom"/>
            <w:tcBorders>
              <w:bottom w:val="single" w:sz="8" w:color="auto"/>
            </w:tcBorders>
          </w:tcPr>
          <w:p>
            <w:pPr>
              <w:jc w:val="center"/>
              <w:ind w:left="913"/>
              <w:spacing w:after="0"/>
              <w:rPr>
                <w:sz w:val="20"/>
                <w:szCs w:val="20"/>
                <w:color w:val="auto"/>
              </w:rPr>
            </w:pPr>
            <w:r>
              <w:rPr>
                <w:rFonts w:ascii="Arial" w:cs="Arial" w:eastAsia="Arial" w:hAnsi="Arial"/>
                <w:sz w:val="14"/>
                <w:szCs w:val="14"/>
                <w:b w:val="1"/>
                <w:bCs w:val="1"/>
                <w:color w:val="auto"/>
                <w:w w:val="98"/>
              </w:rPr>
              <w:t>Age</w:t>
            </w:r>
          </w:p>
        </w:tc>
        <w:tc>
          <w:tcPr>
            <w:tcW w:w="566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Position</w:t>
            </w:r>
          </w:p>
        </w:tc>
      </w:tr>
      <w:tr>
        <w:trPr>
          <w:trHeight w:val="232"/>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Officers</w:t>
            </w:r>
          </w:p>
        </w:tc>
        <w:tc>
          <w:tcPr>
            <w:tcW w:w="186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Eido Gal</w:t>
            </w:r>
          </w:p>
        </w:tc>
        <w:tc>
          <w:tcPr>
            <w:tcW w:w="1860" w:type="dxa"/>
            <w:vAlign w:val="bottom"/>
          </w:tcPr>
          <w:p>
            <w:pPr>
              <w:jc w:val="center"/>
              <w:ind w:left="933"/>
              <w:spacing w:after="0"/>
              <w:rPr>
                <w:sz w:val="20"/>
                <w:szCs w:val="20"/>
                <w:color w:val="auto"/>
              </w:rPr>
            </w:pPr>
            <w:r>
              <w:rPr>
                <w:rFonts w:ascii="Arial" w:cs="Arial" w:eastAsia="Arial" w:hAnsi="Arial"/>
                <w:sz w:val="18"/>
                <w:szCs w:val="18"/>
                <w:color w:val="auto"/>
                <w:w w:val="99"/>
              </w:rPr>
              <w:t>36</w:t>
            </w:r>
          </w:p>
        </w:tc>
        <w:tc>
          <w:tcPr>
            <w:tcW w:w="5660" w:type="dxa"/>
            <w:vAlign w:val="bottom"/>
          </w:tcPr>
          <w:p>
            <w:pPr>
              <w:ind w:left="280"/>
              <w:spacing w:after="0"/>
              <w:rPr>
                <w:sz w:val="20"/>
                <w:szCs w:val="20"/>
                <w:color w:val="auto"/>
              </w:rPr>
            </w:pPr>
            <w:r>
              <w:rPr>
                <w:rFonts w:ascii="Arial" w:cs="Arial" w:eastAsia="Arial" w:hAnsi="Arial"/>
                <w:sz w:val="18"/>
                <w:szCs w:val="18"/>
                <w:color w:val="auto"/>
              </w:rPr>
              <w:t>Co-Founder, Chief Executive Officer, Director</w:t>
            </w: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Assaf Feldman</w:t>
            </w:r>
          </w:p>
        </w:tc>
        <w:tc>
          <w:tcPr>
            <w:tcW w:w="186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9"/>
              </w:rPr>
              <w:t>50</w:t>
            </w:r>
          </w:p>
        </w:tc>
        <w:tc>
          <w:tcPr>
            <w:tcW w:w="5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Co-Founder, Chief Technology Officer, Director</w:t>
            </w: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Aglika Dotcheva</w:t>
            </w:r>
          </w:p>
        </w:tc>
        <w:tc>
          <w:tcPr>
            <w:tcW w:w="1860" w:type="dxa"/>
            <w:vAlign w:val="bottom"/>
          </w:tcPr>
          <w:p>
            <w:pPr>
              <w:jc w:val="center"/>
              <w:ind w:left="933"/>
              <w:spacing w:after="0"/>
              <w:rPr>
                <w:sz w:val="20"/>
                <w:szCs w:val="20"/>
                <w:color w:val="auto"/>
              </w:rPr>
            </w:pPr>
            <w:r>
              <w:rPr>
                <w:rFonts w:ascii="Arial" w:cs="Arial" w:eastAsia="Arial" w:hAnsi="Arial"/>
                <w:sz w:val="18"/>
                <w:szCs w:val="18"/>
                <w:color w:val="auto"/>
                <w:w w:val="99"/>
              </w:rPr>
              <w:t>46</w:t>
            </w:r>
          </w:p>
        </w:tc>
        <w:tc>
          <w:tcPr>
            <w:tcW w:w="5660" w:type="dxa"/>
            <w:vAlign w:val="bottom"/>
          </w:tcPr>
          <w:p>
            <w:pPr>
              <w:ind w:left="280"/>
              <w:spacing w:after="0"/>
              <w:rPr>
                <w:sz w:val="20"/>
                <w:szCs w:val="20"/>
                <w:color w:val="auto"/>
              </w:rPr>
            </w:pPr>
            <w:r>
              <w:rPr>
                <w:rFonts w:ascii="Arial" w:cs="Arial" w:eastAsia="Arial" w:hAnsi="Arial"/>
                <w:sz w:val="18"/>
                <w:szCs w:val="18"/>
                <w:color w:val="auto"/>
              </w:rPr>
              <w:t>Chief Financial Officer</w:t>
            </w: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Naama Ofek Arad</w:t>
            </w:r>
          </w:p>
        </w:tc>
        <w:tc>
          <w:tcPr>
            <w:tcW w:w="186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9"/>
              </w:rPr>
              <w:t>37</w:t>
            </w:r>
          </w:p>
        </w:tc>
        <w:tc>
          <w:tcPr>
            <w:tcW w:w="5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Chief Operations Officer</w:t>
            </w: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Peter Elmgren</w:t>
            </w:r>
          </w:p>
        </w:tc>
        <w:tc>
          <w:tcPr>
            <w:tcW w:w="1860" w:type="dxa"/>
            <w:vAlign w:val="bottom"/>
          </w:tcPr>
          <w:p>
            <w:pPr>
              <w:jc w:val="center"/>
              <w:ind w:left="933"/>
              <w:spacing w:after="0"/>
              <w:rPr>
                <w:sz w:val="20"/>
                <w:szCs w:val="20"/>
                <w:color w:val="auto"/>
              </w:rPr>
            </w:pPr>
            <w:r>
              <w:rPr>
                <w:rFonts w:ascii="Arial" w:cs="Arial" w:eastAsia="Arial" w:hAnsi="Arial"/>
                <w:sz w:val="18"/>
                <w:szCs w:val="18"/>
                <w:color w:val="auto"/>
                <w:w w:val="99"/>
              </w:rPr>
              <w:t>47</w:t>
            </w:r>
          </w:p>
        </w:tc>
        <w:tc>
          <w:tcPr>
            <w:tcW w:w="5660" w:type="dxa"/>
            <w:vAlign w:val="bottom"/>
          </w:tcPr>
          <w:p>
            <w:pPr>
              <w:ind w:left="280"/>
              <w:spacing w:after="0"/>
              <w:rPr>
                <w:sz w:val="20"/>
                <w:szCs w:val="20"/>
                <w:color w:val="auto"/>
              </w:rPr>
            </w:pPr>
            <w:r>
              <w:rPr>
                <w:rFonts w:ascii="Arial" w:cs="Arial" w:eastAsia="Arial" w:hAnsi="Arial"/>
                <w:sz w:val="18"/>
                <w:szCs w:val="18"/>
                <w:color w:val="auto"/>
              </w:rPr>
              <w:t>Chief Revenue Officer</w:t>
            </w:r>
          </w:p>
        </w:tc>
      </w:tr>
      <w:tr>
        <w:trPr>
          <w:trHeight w:val="266"/>
        </w:trPr>
        <w:tc>
          <w:tcPr>
            <w:tcW w:w="37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5660" w:type="dxa"/>
            <w:vAlign w:val="bottom"/>
            <w:shd w:val="clear" w:color="auto" w:fill="CCEEFF"/>
          </w:tcPr>
          <w:p>
            <w:pPr>
              <w:spacing w:after="0"/>
              <w:rPr>
                <w:sz w:val="23"/>
                <w:szCs w:val="23"/>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186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Erez Shachar</w:t>
            </w:r>
          </w:p>
        </w:tc>
        <w:tc>
          <w:tcPr>
            <w:tcW w:w="186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9"/>
              </w:rPr>
              <w:t>58</w:t>
            </w:r>
          </w:p>
        </w:tc>
        <w:tc>
          <w:tcPr>
            <w:tcW w:w="5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Eyal Kishon</w:t>
            </w:r>
          </w:p>
        </w:tc>
        <w:tc>
          <w:tcPr>
            <w:tcW w:w="1860" w:type="dxa"/>
            <w:vAlign w:val="bottom"/>
          </w:tcPr>
          <w:p>
            <w:pPr>
              <w:jc w:val="center"/>
              <w:ind w:left="933"/>
              <w:spacing w:after="0"/>
              <w:rPr>
                <w:sz w:val="20"/>
                <w:szCs w:val="20"/>
                <w:color w:val="auto"/>
              </w:rPr>
            </w:pPr>
            <w:r>
              <w:rPr>
                <w:rFonts w:ascii="Arial" w:cs="Arial" w:eastAsia="Arial" w:hAnsi="Arial"/>
                <w:sz w:val="18"/>
                <w:szCs w:val="18"/>
                <w:color w:val="auto"/>
                <w:w w:val="99"/>
              </w:rPr>
              <w:t>62</w:t>
            </w:r>
          </w:p>
        </w:tc>
        <w:tc>
          <w:tcPr>
            <w:tcW w:w="566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Aaron Mankovski</w:t>
            </w:r>
          </w:p>
        </w:tc>
        <w:tc>
          <w:tcPr>
            <w:tcW w:w="186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9"/>
              </w:rPr>
              <w:t>65</w:t>
            </w:r>
          </w:p>
        </w:tc>
        <w:tc>
          <w:tcPr>
            <w:tcW w:w="5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Tanzeen Syed</w:t>
            </w:r>
          </w:p>
        </w:tc>
        <w:tc>
          <w:tcPr>
            <w:tcW w:w="1860" w:type="dxa"/>
            <w:vAlign w:val="bottom"/>
          </w:tcPr>
          <w:p>
            <w:pPr>
              <w:jc w:val="center"/>
              <w:ind w:left="933"/>
              <w:spacing w:after="0"/>
              <w:rPr>
                <w:sz w:val="20"/>
                <w:szCs w:val="20"/>
                <w:color w:val="auto"/>
              </w:rPr>
            </w:pPr>
            <w:r>
              <w:rPr>
                <w:rFonts w:ascii="Arial" w:cs="Arial" w:eastAsia="Arial" w:hAnsi="Arial"/>
                <w:sz w:val="18"/>
                <w:szCs w:val="18"/>
                <w:color w:val="auto"/>
                <w:w w:val="99"/>
              </w:rPr>
              <w:t>39</w:t>
            </w:r>
          </w:p>
        </w:tc>
        <w:tc>
          <w:tcPr>
            <w:tcW w:w="566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Jennifer Ceran</w:t>
            </w:r>
          </w:p>
        </w:tc>
        <w:tc>
          <w:tcPr>
            <w:tcW w:w="186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9"/>
              </w:rPr>
              <w:t>58</w:t>
            </w:r>
          </w:p>
        </w:tc>
        <w:tc>
          <w:tcPr>
            <w:tcW w:w="5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68" w:lineRule="exact"/>
        <w:rPr>
          <w:sz w:val="20"/>
          <w:szCs w:val="20"/>
          <w:color w:val="auto"/>
        </w:rPr>
      </w:pPr>
    </w:p>
    <w:p>
      <w:pPr>
        <w:ind w:right="220" w:firstLine="318"/>
        <w:spacing w:after="0" w:line="259" w:lineRule="auto"/>
        <w:rPr>
          <w:sz w:val="20"/>
          <w:szCs w:val="20"/>
          <w:color w:val="auto"/>
        </w:rPr>
      </w:pPr>
      <w:r>
        <w:rPr>
          <w:rFonts w:ascii="Arial" w:cs="Arial" w:eastAsia="Arial" w:hAnsi="Arial"/>
          <w:sz w:val="18"/>
          <w:szCs w:val="18"/>
          <w:i w:val="1"/>
          <w:iCs w:val="1"/>
          <w:color w:val="auto"/>
        </w:rPr>
        <w:t xml:space="preserve">Eido Gal </w:t>
      </w:r>
      <w:r>
        <w:rPr>
          <w:rFonts w:ascii="Arial" w:cs="Arial" w:eastAsia="Arial" w:hAnsi="Arial"/>
          <w:sz w:val="18"/>
          <w:szCs w:val="18"/>
          <w:color w:val="auto"/>
        </w:rPr>
        <w:t>is our Co-Founder and has served as our Chief Executive Officer and as a member of our board of directors since our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co-founding Riskified, Mr. Gal served as an Analyst at BillGuard from January 2011 to January 2013 and as an Analyst at PayPal Holdings, Inc. from January 2009 to January 2011.</w:t>
      </w:r>
    </w:p>
    <w:p>
      <w:pPr>
        <w:spacing w:after="0" w:line="125"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i w:val="1"/>
          <w:iCs w:val="1"/>
          <w:color w:val="auto"/>
        </w:rPr>
        <w:t xml:space="preserve">Assaf Feldman </w:t>
      </w:r>
      <w:r>
        <w:rPr>
          <w:rFonts w:ascii="Arial" w:cs="Arial" w:eastAsia="Arial" w:hAnsi="Arial"/>
          <w:sz w:val="18"/>
          <w:szCs w:val="18"/>
          <w:color w:val="auto"/>
        </w:rPr>
        <w:t>is our Co-Founder and has served as our Chief Technology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Prior to co-founding Riskified, Mr. Feldman served as an Algorithm Engineer at BillGuard from September 2011 to November 2012, Head of Research Technologies at Kinetic Global Markets from April 2009 to August 2011, Lead Developer at monitor110.com from February 2006 to July 2008, Researcher at MIT Media-Lab from September 2003 to June 2005, Vice President of Engineering at Oddcast Inc. from April 2001 to June 2003, and as a Senior Developer at Earthnoise from August 1999 to March 2001. Mr. Feldman holds a B.A. in Film and Computer Science from Tel Aviv University in Israel and an M.S. from Massachusetts Institute of Technology (MIT).</w:t>
      </w:r>
    </w:p>
    <w:p>
      <w:pPr>
        <w:spacing w:after="0" w:line="132" w:lineRule="exact"/>
        <w:rPr>
          <w:sz w:val="20"/>
          <w:szCs w:val="20"/>
          <w:color w:val="auto"/>
        </w:rPr>
      </w:pPr>
    </w:p>
    <w:p>
      <w:pPr>
        <w:jc w:val="both"/>
        <w:ind w:right="80" w:firstLine="318"/>
        <w:spacing w:after="0" w:line="259" w:lineRule="auto"/>
        <w:rPr>
          <w:sz w:val="20"/>
          <w:szCs w:val="20"/>
          <w:color w:val="auto"/>
        </w:rPr>
      </w:pPr>
      <w:r>
        <w:rPr>
          <w:rFonts w:ascii="Arial" w:cs="Arial" w:eastAsia="Arial" w:hAnsi="Arial"/>
          <w:sz w:val="18"/>
          <w:szCs w:val="18"/>
          <w:i w:val="1"/>
          <w:iCs w:val="1"/>
          <w:color w:val="auto"/>
        </w:rPr>
        <w:t xml:space="preserve">Aglika Dotcheva </w:t>
      </w:r>
      <w:r>
        <w:rPr>
          <w:rFonts w:ascii="Arial" w:cs="Arial" w:eastAsia="Arial" w:hAnsi="Arial"/>
          <w:sz w:val="18"/>
          <w:szCs w:val="18"/>
          <w:color w:val="auto"/>
        </w:rPr>
        <w:t>has served as our Chief Financial Officer since 2015 and previously as our Vice President of Finance since October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Ms. Dotcheva served as Associate Director at the New York University Central Office of Budget and Financial Planning from 2006 to 2011. Ms. Dotcheva volunteers as the Treasurer for the Tutoring Initiative, a nonprofit organization that offers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4" w:name="page85"/>
    <w:bookmarkEnd w:id="84"/>
    <w:p>
      <w:pPr>
        <w:ind w:right="80"/>
        <w:spacing w:after="0" w:line="251" w:lineRule="auto"/>
        <w:rPr>
          <w:sz w:val="20"/>
          <w:szCs w:val="20"/>
          <w:color w:val="auto"/>
        </w:rPr>
      </w:pPr>
      <w:r>
        <w:rPr>
          <w:rFonts w:ascii="Arial" w:cs="Arial" w:eastAsia="Arial" w:hAnsi="Arial"/>
          <w:sz w:val="18"/>
          <w:szCs w:val="18"/>
          <w:color w:val="auto"/>
        </w:rPr>
        <w:t>tutoring in mathematics to low-income students. Ms. Dotcheva holds an M.B.A. in Strategy, Finance and Accounting from New York University, and a B.A. in Economics from Columbia University.</w:t>
      </w:r>
    </w:p>
    <w:p>
      <w:pPr>
        <w:spacing w:after="0" w:line="132" w:lineRule="exact"/>
        <w:rPr>
          <w:sz w:val="20"/>
          <w:szCs w:val="20"/>
          <w:color w:val="auto"/>
        </w:rPr>
      </w:pPr>
    </w:p>
    <w:p>
      <w:pPr>
        <w:ind w:right="120" w:firstLine="318"/>
        <w:spacing w:after="0" w:line="254" w:lineRule="auto"/>
        <w:rPr>
          <w:sz w:val="20"/>
          <w:szCs w:val="20"/>
          <w:color w:val="auto"/>
        </w:rPr>
      </w:pPr>
      <w:r>
        <w:rPr>
          <w:rFonts w:ascii="Arial" w:cs="Arial" w:eastAsia="Arial" w:hAnsi="Arial"/>
          <w:sz w:val="18"/>
          <w:szCs w:val="18"/>
          <w:i w:val="1"/>
          <w:iCs w:val="1"/>
          <w:color w:val="auto"/>
        </w:rPr>
        <w:t xml:space="preserve">Naama Ofek Arad </w:t>
      </w:r>
      <w:r>
        <w:rPr>
          <w:rFonts w:ascii="Arial" w:cs="Arial" w:eastAsia="Arial" w:hAnsi="Arial"/>
          <w:sz w:val="18"/>
          <w:szCs w:val="18"/>
          <w:color w:val="auto"/>
        </w:rPr>
        <w:t>has served as our Chief Operations Officer since April 2017 and previously as our Head of Sales Operations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2017. Prior to joining us, Ms. Ofek Arad served as a Consultant with The Boston Consulting Group from July 2014 to December 2016 and as an Operations Manager with the Israeli Air Force from 2006 to 2014. Ms. Ofek Arad holds a B.A. in Information Systems and Management from Ben Gurion University in Israel and an Executive M.B.A. from Northwestern University, Kellogg School of Management.</w:t>
      </w:r>
    </w:p>
    <w:p>
      <w:pPr>
        <w:spacing w:after="0" w:line="131" w:lineRule="exact"/>
        <w:rPr>
          <w:sz w:val="20"/>
          <w:szCs w:val="20"/>
          <w:color w:val="auto"/>
        </w:rPr>
      </w:pPr>
    </w:p>
    <w:p>
      <w:pPr>
        <w:ind w:right="300" w:firstLine="318"/>
        <w:spacing w:after="0" w:line="259" w:lineRule="auto"/>
        <w:rPr>
          <w:sz w:val="20"/>
          <w:szCs w:val="20"/>
          <w:color w:val="auto"/>
        </w:rPr>
      </w:pPr>
      <w:r>
        <w:rPr>
          <w:rFonts w:ascii="Arial" w:cs="Arial" w:eastAsia="Arial" w:hAnsi="Arial"/>
          <w:sz w:val="18"/>
          <w:szCs w:val="18"/>
          <w:i w:val="1"/>
          <w:iCs w:val="1"/>
          <w:color w:val="auto"/>
        </w:rPr>
        <w:t xml:space="preserve">Peter Elmgren </w:t>
      </w:r>
      <w:r>
        <w:rPr>
          <w:rFonts w:ascii="Arial" w:cs="Arial" w:eastAsia="Arial" w:hAnsi="Arial"/>
          <w:sz w:val="18"/>
          <w:szCs w:val="18"/>
          <w:color w:val="auto"/>
        </w:rPr>
        <w:t>has served as our Chief Revenue Officer since February 2021. Prior to joining us, Mr. Elmgren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Business Development at SAP from April 2019 to February 2021 and as General Manager, Sales for the Americas at Microsoft from December 2016 to April 2019. Mr. Elmgren holds a B.A. in Economics from St. Olaf College.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 xml:space="preserve">Erez Shachar </w:t>
      </w:r>
      <w:r>
        <w:rPr>
          <w:rFonts w:ascii="Arial" w:cs="Arial" w:eastAsia="Arial" w:hAnsi="Arial"/>
          <w:sz w:val="17"/>
          <w:szCs w:val="17"/>
          <w:color w:val="auto"/>
        </w:rPr>
        <w:t>has served as a member of our board of directors since July 2015. Mr. Shachar is the Co-Founder and Managing Partner of</w:t>
      </w:r>
      <w:r>
        <w:rPr>
          <w:rFonts w:ascii="Arial" w:cs="Arial" w:eastAsia="Arial" w:hAnsi="Arial"/>
          <w:sz w:val="17"/>
          <w:szCs w:val="17"/>
          <w:i w:val="1"/>
          <w:iCs w:val="1"/>
          <w:color w:val="auto"/>
        </w:rPr>
        <w:t xml:space="preserve"> </w:t>
      </w:r>
      <w:r>
        <w:rPr>
          <w:rFonts w:ascii="Arial" w:cs="Arial" w:eastAsia="Arial" w:hAnsi="Arial"/>
          <w:sz w:val="17"/>
          <w:szCs w:val="17"/>
          <w:color w:val="auto"/>
        </w:rPr>
        <w:t>Qumra Capital Management Ltd., a venture capital firm founded in 2013. Since 2004, Mr. Shachar has also served as Managing Partner of Evergreen Venture Partners Ltd., a venture capital firm, focusing on investment opportunities in technology companies. Mr. Shachar served as a member of the board of directors of Fiverr International Ltd. (NYSE: FVRR) from August 2014 to August 2020, Eyeview Inc. from January 2016 to December 2019, Varonis Systems Inc. (Nasdaq: VRNS) from July 2006 to February 2015, Nur Macroprinters Inc. from January 1997 to December 2002, Traiana Inc. from January 2006 to October 2007, Itemfiled Inc. from March 2005 to December 2006, eGlue Business Technologies Inc. from August 2006 to June 2010 and Aduva Inc. from February 2005 to March 2006. Mr. Shachar currently serves as a member of the board of directors of Taboola.com Ltd. (Nasdaq: TBLA), Talkspace, Inc. (Nasdaq: TALK) and several privately held companies. Mr. Shachar holds a B.Sc. in Computer Science from Tel Aviv University in Israel and an M.B.A. from the INSEAD Business School in France.</w:t>
      </w:r>
    </w:p>
    <w:p>
      <w:pPr>
        <w:spacing w:after="0" w:line="12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i w:val="1"/>
          <w:iCs w:val="1"/>
          <w:color w:val="auto"/>
        </w:rPr>
        <w:t xml:space="preserve">Eyal Kishon </w:t>
      </w:r>
      <w:r>
        <w:rPr>
          <w:rFonts w:ascii="Arial" w:cs="Arial" w:eastAsia="Arial" w:hAnsi="Arial"/>
          <w:sz w:val="18"/>
          <w:szCs w:val="18"/>
          <w:color w:val="auto"/>
        </w:rPr>
        <w:t>has served as a member of our board of directors since February 2013. Since September 1996, Dr. Kishon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Genesis Partners, an Israel-based venture capital fund and since December 2020, Mr. Kishon has served as Chairman of Deep Insight, an Israel-based venture capital fund. From 1993 to 1996, Dr. Kishon served as Associate Director of Pitango Venture Capital. Prior to that, Dr. Kishon served as Chief Technology Officer at Yozma Venture Capital in 1993. From 1991 to 1993, Dr. Kishon was a Research Fellow in the Multimedia Department of IBM Science &amp; Technology. From 1989 to 1991, Dr. Kishon worked in the Robotics Research Department of AT&amp;T Bell Laboratories. Dr. Kishon currently serves as a member of the board of directors of Audiocodes Ltd. (Nasdaq, TASE: AUDC) and several privately held companies. Dr. Kishon holds a B.S. in Computer Science from the Technion – Israel Institute of Technology and a Ph.D. in Computer Science from New York University.</w:t>
      </w:r>
    </w:p>
    <w:p>
      <w:pPr>
        <w:spacing w:after="0" w:line="137"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i w:val="1"/>
          <w:iCs w:val="1"/>
          <w:color w:val="auto"/>
        </w:rPr>
        <w:t xml:space="preserve">Aaron Mankovski </w:t>
      </w:r>
      <w:r>
        <w:rPr>
          <w:rFonts w:ascii="Arial" w:cs="Arial" w:eastAsia="Arial" w:hAnsi="Arial"/>
          <w:sz w:val="18"/>
          <w:szCs w:val="18"/>
          <w:color w:val="auto"/>
        </w:rPr>
        <w:t>has served as a member of our board of directors since September 2017. Since 2000, Mr. Mankovski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Pitango Venture Capital, a venture capital firm founded in 1993. Mr. Mankovski serves as a member of the board of directors of several privately held companies including Tailor Brands Ltd. since February 2020, Silk since May 2009, DriveNets Ltd. since February 2019, and Tabit Technologies Ltd. since March 2020. Mr. Mankovski has also served as a member of the general Assembly of O.R.T. Technologies Ltd. since October 2020 and as a board observer for Formlabs since October 2013, Tulip since November 2013, Tomorrow.io since July 2020 and Meta Flow since November 2021. Mr. Mankovski is the Founder and former Chairman of IATI – Israel Advanced Technology Industries. Mr. Mankovski founded and was Managing General Partner of Eucalyptus Ventures from 1997 to 2016. Mr. Mankovski holds a B.Sc. from Tel Aviv University in Computer Science and Statistics and served as a pilot in the Israeli Air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85" w:name="page86"/>
    <w:bookmarkEnd w:id="85"/>
    <w:p>
      <w:pPr>
        <w:ind w:right="100" w:firstLine="318"/>
        <w:spacing w:after="0" w:line="250" w:lineRule="auto"/>
        <w:rPr>
          <w:sz w:val="20"/>
          <w:szCs w:val="20"/>
          <w:color w:val="auto"/>
        </w:rPr>
      </w:pPr>
      <w:r>
        <w:rPr>
          <w:rFonts w:ascii="Arial" w:cs="Arial" w:eastAsia="Arial" w:hAnsi="Arial"/>
          <w:sz w:val="18"/>
          <w:szCs w:val="18"/>
          <w:i w:val="1"/>
          <w:iCs w:val="1"/>
          <w:color w:val="auto"/>
        </w:rPr>
        <w:t xml:space="preserve">Tanzeen Syed </w:t>
      </w:r>
      <w:r>
        <w:rPr>
          <w:rFonts w:ascii="Arial" w:cs="Arial" w:eastAsia="Arial" w:hAnsi="Arial"/>
          <w:sz w:val="18"/>
          <w:szCs w:val="18"/>
          <w:color w:val="auto"/>
        </w:rPr>
        <w:t>has served on our board of directors since October 2019. Since July 2018, Mr. Syed has served as a Managing Director 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Atlantic LLC and focuses on investments in General Atlantic’s Technology sector. Mr. Syed rejoined General Atlantic in July 2018 after working there from 2006 to September 2013. Prior to rejoining General Atlantic, Mr. Syed served as the Director of Technology Growth Investments at Temasek, an investment company, from July 2015 until June 2018. From October 2013 to June 2015 Mr. Syed was a Vice President at Great Hill Partners L.P. Mr. Syed currently serves as a member of the board of directors of ContextLogic Inc. (dba Wish) (Nasdaq: WISH), Kiwi.com s.r.o., Chess.com and Panorama Education, private portfolio companies of General Atlantic. Mr. Syed holds a B.A. in Economics and Political Science from Macalester College.</w:t>
      </w:r>
    </w:p>
    <w:p>
      <w:pPr>
        <w:spacing w:after="0" w:line="13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i w:val="1"/>
          <w:iCs w:val="1"/>
          <w:color w:val="auto"/>
        </w:rPr>
        <w:t xml:space="preserve">Jennifer Ceran </w:t>
      </w:r>
      <w:r>
        <w:rPr>
          <w:rFonts w:ascii="Arial" w:cs="Arial" w:eastAsia="Arial" w:hAnsi="Arial"/>
          <w:sz w:val="18"/>
          <w:szCs w:val="18"/>
          <w:color w:val="auto"/>
        </w:rPr>
        <w:t>has served on our board of directors since February 2021. Since November 2021, Ms. Ceran has served as the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for Klaviyo, Inc. Ms. Ceran served as the Chief Financial Officer and Treasurer for Smartsheet Inc. from September 2016 to January 2021 and the Chief Financial Officer of Quotient Technology Inc. from September 2015 to September 2016. From October 2012 to September 2015, Ms. Ceran served as the Treasurer and Vice President of Investor Relations at Box, Inc. Ms. Ceran held several roles at eBay Inc. from April 2003 to August 2012 including Vice President of Investor Relations and Corporate Financial Planning and Analysis and Treasurer. Ms. Ceran currently serves on the board of directors of several private and public companies including Klaviyo, Inc., True, NerdWallet, Plum Acquisition Corp I and Wyze Labs, Inc. Ms. Ceran holds a B.A. in Communications and French from Vanderbilt University and an M.B.A. from the University of Chicago Booth School of Business.</w:t>
      </w:r>
    </w:p>
    <w:p>
      <w:pPr>
        <w:spacing w:after="0" w:line="133" w:lineRule="exact"/>
        <w:rPr>
          <w:sz w:val="20"/>
          <w:szCs w:val="20"/>
          <w:color w:val="auto"/>
        </w:rPr>
      </w:pPr>
    </w:p>
    <w:p>
      <w:pPr>
        <w:ind w:right="9440" w:firstLine="324"/>
        <w:spacing w:after="0" w:line="469" w:lineRule="auto"/>
        <w:tabs>
          <w:tab w:leader="none" w:pos="543"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Directors</w:t>
      </w:r>
    </w:p>
    <w:p>
      <w:pPr>
        <w:ind w:right="40" w:firstLine="318"/>
        <w:spacing w:after="0" w:line="247" w:lineRule="auto"/>
        <w:rPr>
          <w:sz w:val="20"/>
          <w:szCs w:val="20"/>
          <w:color w:val="auto"/>
        </w:rPr>
      </w:pPr>
      <w:r>
        <w:rPr>
          <w:rFonts w:ascii="Arial" w:cs="Arial" w:eastAsia="Arial" w:hAnsi="Arial"/>
          <w:sz w:val="18"/>
          <w:szCs w:val="18"/>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by a simple majority will also be required, provided that:</w:t>
      </w:r>
    </w:p>
    <w:p>
      <w:pPr>
        <w:spacing w:after="0" w:line="154" w:lineRule="exact"/>
        <w:rPr>
          <w:sz w:val="20"/>
          <w:szCs w:val="20"/>
          <w:color w:val="auto"/>
        </w:rPr>
      </w:pPr>
    </w:p>
    <w:p>
      <w:pPr>
        <w:ind w:right="320" w:firstLine="324"/>
        <w:spacing w:after="0" w:line="251"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50" w:lineRule="exact"/>
        <w:rPr>
          <w:rFonts w:ascii="Arial" w:cs="Arial" w:eastAsia="Arial" w:hAnsi="Arial"/>
          <w:sz w:val="18"/>
          <w:szCs w:val="18"/>
          <w:color w:val="auto"/>
        </w:rPr>
      </w:pPr>
    </w:p>
    <w:p>
      <w:pPr>
        <w:ind w:right="120" w:firstLine="324"/>
        <w:spacing w:after="0" w:line="251"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than the Chief Executive Officer</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do not approve a compensation arrangement with such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158" w:lineRule="exact"/>
        <w:rPr>
          <w:sz w:val="20"/>
          <w:szCs w:val="20"/>
          <w:color w:val="auto"/>
        </w:rPr>
      </w:pPr>
    </w:p>
    <w:p>
      <w:pPr>
        <w:ind w:right="480" w:firstLine="318"/>
        <w:spacing w:after="0" w:line="251" w:lineRule="auto"/>
        <w:rPr>
          <w:sz w:val="20"/>
          <w:szCs w:val="20"/>
          <w:color w:val="auto"/>
        </w:rPr>
      </w:pPr>
      <w:r>
        <w:rPr>
          <w:rFonts w:ascii="Arial" w:cs="Arial" w:eastAsia="Arial" w:hAnsi="Arial"/>
          <w:sz w:val="18"/>
          <w:szCs w:val="18"/>
          <w:color w:val="auto"/>
        </w:rPr>
        <w:t>An amendment to an existing arrangement with an office holder (who is not a director) requires only the approval of the compensation committee, if the compensation committee determines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86" w:name="page87"/>
    <w:bookmarkEnd w:id="86"/>
    <w:p>
      <w:pPr>
        <w:ind w:right="20"/>
        <w:spacing w:after="0" w:line="247" w:lineRule="auto"/>
        <w:rPr>
          <w:sz w:val="20"/>
          <w:szCs w:val="20"/>
          <w:color w:val="auto"/>
        </w:rPr>
      </w:pPr>
      <w:r>
        <w:rPr>
          <w:rFonts w:ascii="Arial" w:cs="Arial" w:eastAsia="Arial" w:hAnsi="Arial"/>
          <w:sz w:val="18"/>
          <w:szCs w:val="18"/>
          <w:color w:val="auto"/>
        </w:rPr>
        <w:t>amendment is not material in comparison to the existing arrangement. However, under the Companies Law, an amendment to an existing arrangement with an office holder (who is not a director) who is subordinate to the chief executive officer will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detailed reasons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is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Compensation of Office Holders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aggregate compensation, including share-based compensation, paid by us and our subsidiaries to our executive officers and directors for the year ended December 31, 2021 was approximately $24.8 million. This amount includes deferred or contingent compensation accrued for such year (and excludes deferred or contingent amounts accrued for during the year ended December 31, 2020 and paid during the year ended December 31, 2021). This amount includes amounts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158" w:lineRule="exact"/>
        <w:rPr>
          <w:sz w:val="20"/>
          <w:szCs w:val="20"/>
          <w:color w:val="auto"/>
        </w:rPr>
      </w:pPr>
    </w:p>
    <w:p>
      <w:pPr>
        <w:jc w:val="both"/>
        <w:ind w:right="440" w:firstLine="318"/>
        <w:spacing w:after="0" w:line="248" w:lineRule="auto"/>
        <w:rPr>
          <w:sz w:val="20"/>
          <w:szCs w:val="20"/>
          <w:color w:val="auto"/>
        </w:rPr>
      </w:pPr>
      <w:r>
        <w:rPr>
          <w:rFonts w:ascii="Arial" w:cs="Arial" w:eastAsia="Arial" w:hAnsi="Arial"/>
          <w:sz w:val="18"/>
          <w:szCs w:val="18"/>
          <w:color w:val="auto"/>
        </w:rPr>
        <w:t>As of December 31, 2021, options to purchase 1,630,950 Class A ordinary shares granted to our executive officers and directors were outstanding under our equity incentive plans at a weighted average exercise price of $1.69 per ordinary share. As of December 31, 2021, 7,618,797 restricted share units, or RSUs, had been granted to our executive officers and directors.</w:t>
      </w:r>
    </w:p>
    <w:p>
      <w:pPr>
        <w:spacing w:after="0" w:line="15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During the year ended December 31, 2021, our directors and officers were granted options, which expire in 2031, to purchase an aggregate of 420,000 Class A ordinary shares, at a weighted average exercise price of $3.83 per share, and 7,618,797 RSUs under our equity incentive plans.</w:t>
      </w:r>
    </w:p>
    <w:p>
      <w:pPr>
        <w:spacing w:after="0" w:line="153" w:lineRule="exact"/>
        <w:rPr>
          <w:sz w:val="20"/>
          <w:szCs w:val="20"/>
          <w:color w:val="auto"/>
        </w:rPr>
      </w:pPr>
    </w:p>
    <w:p>
      <w:pPr>
        <w:jc w:val="both"/>
        <w:ind w:right="100" w:firstLine="318"/>
        <w:spacing w:after="0" w:line="270" w:lineRule="auto"/>
        <w:rPr>
          <w:sz w:val="20"/>
          <w:szCs w:val="20"/>
          <w:color w:val="auto"/>
        </w:rPr>
      </w:pPr>
      <w:r>
        <w:rPr>
          <w:rFonts w:ascii="Arial" w:cs="Arial" w:eastAsia="Arial" w:hAnsi="Arial"/>
          <w:sz w:val="17"/>
          <w:szCs w:val="17"/>
          <w:color w:val="auto"/>
        </w:rPr>
        <w:t>The following is a summary of the salary expenses and social benefit costs of our five most highly compensated executive officers in 2021, or collectively the "Covered Executives." All amounts reported reflect the cost to the Company as recognized in our financial statements for the year ended December 31, 2021. U.S. dollar amounts indicated for compensation of our Covered Executives are 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87" w:name="page88"/>
    <w:bookmarkEnd w:id="87"/>
    <w:p>
      <w:pPr>
        <w:ind w:right="260" w:firstLine="318"/>
        <w:spacing w:after="0" w:line="251" w:lineRule="auto"/>
        <w:rPr>
          <w:sz w:val="20"/>
          <w:szCs w:val="20"/>
          <w:color w:val="auto"/>
        </w:rPr>
      </w:pPr>
      <w:r>
        <w:rPr>
          <w:rFonts w:ascii="Arial" w:cs="Arial" w:eastAsia="Arial" w:hAnsi="Arial"/>
          <w:sz w:val="18"/>
          <w:szCs w:val="18"/>
          <w:color w:val="auto"/>
        </w:rPr>
        <w:t>Mr. Eido Gal, Co-Founder and Chief Executive Officer. Compensation expenses recorded in 2021 of $240 in salary expenses and $61 in social benefits costs.</w:t>
      </w:r>
    </w:p>
    <w:p>
      <w:pPr>
        <w:spacing w:after="0" w:line="150"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Mr. Assaf Feldman, Co-Founder and Chief Technology Officer. Compensation expenses recorded in 2021 of $240 in salary expenses and $49 in social benefits costs.</w:t>
      </w:r>
    </w:p>
    <w:p>
      <w:pPr>
        <w:spacing w:after="0" w:line="150" w:lineRule="exact"/>
        <w:rPr>
          <w:sz w:val="20"/>
          <w:szCs w:val="20"/>
          <w:color w:val="auto"/>
        </w:rPr>
      </w:pPr>
    </w:p>
    <w:p>
      <w:pPr>
        <w:ind w:right="520" w:firstLine="318"/>
        <w:spacing w:after="0" w:line="251" w:lineRule="auto"/>
        <w:rPr>
          <w:sz w:val="20"/>
          <w:szCs w:val="20"/>
          <w:color w:val="auto"/>
        </w:rPr>
      </w:pPr>
      <w:r>
        <w:rPr>
          <w:rFonts w:ascii="Arial" w:cs="Arial" w:eastAsia="Arial" w:hAnsi="Arial"/>
          <w:sz w:val="18"/>
          <w:szCs w:val="18"/>
          <w:color w:val="auto"/>
        </w:rPr>
        <w:t>Ms. Aglika Dotcheva, Chief Financial Officer. Compensation expenses recorded in 2021 of $300 in salary expenses and $62 in social benefits costs.</w:t>
      </w:r>
    </w:p>
    <w:p>
      <w:pPr>
        <w:spacing w:after="0" w:line="150"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Ms. Naama Ofek-Arad, Chief Operating Officer. Compensation expenses recorded in 2021 of $223 in salary expenses and $67 in social benefits costs.</w:t>
      </w:r>
    </w:p>
    <w:p>
      <w:pPr>
        <w:spacing w:after="0" w:line="150"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Mr. Peter Elmgren, Chief Revenue Officer. Compensation expenses recorded in 2021 of $263 in salary expenses and $49 in social benefits costs.</w:t>
      </w:r>
    </w:p>
    <w:p>
      <w:pPr>
        <w:spacing w:after="0" w:line="150"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The salary expenses summarized above include the gross salary paid to the Covered Executives, and the benefit expenses include the social benefits paid by us on behalf of the Covered Executives, convalescence pay, contributions made by the company to an insurance policy, 401(k) or a pension fund, work disability insurance, severance, educational fund and payments for social security.</w:t>
      </w:r>
    </w:p>
    <w:p>
      <w:pPr>
        <w:spacing w:after="0" w:line="15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accordance with the Company’s compensation policy, we also paid cash bonuses to our Covered Executives upon compliance with predetermined performance parameters and an over achievement bonus as set by the compensation committee and the board of directors. The 2021 cash bonus expenses for Mr. Eido Gal, Mr. Assaf Feldman, Ms. Aglika Dotcheva, Ms. Naama Ofek-Arad and Mr. Peter Elmgren, as provided for in our 2021 financial statements, were $48, $48, $90, $67 and $412, respectively.</w:t>
      </w:r>
    </w:p>
    <w:p>
      <w:pPr>
        <w:spacing w:after="0" w:line="155" w:lineRule="exact"/>
        <w:rPr>
          <w:sz w:val="20"/>
          <w:szCs w:val="20"/>
          <w:color w:val="auto"/>
        </w:rPr>
      </w:pPr>
    </w:p>
    <w:p>
      <w:pPr>
        <w:jc w:val="both"/>
        <w:ind w:right="420" w:firstLine="318"/>
        <w:spacing w:after="0" w:line="248" w:lineRule="auto"/>
        <w:rPr>
          <w:sz w:val="20"/>
          <w:szCs w:val="20"/>
          <w:color w:val="auto"/>
        </w:rPr>
      </w:pPr>
      <w:r>
        <w:rPr>
          <w:rFonts w:ascii="Arial" w:cs="Arial" w:eastAsia="Arial" w:hAnsi="Arial"/>
          <w:sz w:val="18"/>
          <w:szCs w:val="18"/>
          <w:color w:val="auto"/>
        </w:rPr>
        <w:t>We recorded equity-based compensation expenses in our financial statements for the year ended December 31, 2021 for options and RSUs granted to Mr. Eido Gal, Mr. Assaf Feldman, Ms. Aglika Dotcheva, Ms. Naama Ofek-Arad and Mr. Peter Elmgren of $15,304 $4,674, $405, $263 and $1,900, respectively.</w:t>
      </w:r>
    </w:p>
    <w:p>
      <w:pPr>
        <w:spacing w:after="0" w:line="153"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Equity awards granted to our Covered Executives are subject to a “double trigger” full acceleration vesting mechanism upon Merger/Sale (as defined in the 2021 Share Incentive Plan). That is, shares do not automatically vest upon a Merger/Sale, as vesting requires two triggers: (i) Merger/Sale, as well as (ii) termination of employment without “cause” or voluntary termination for “good reason”, in each case in connection with the Merger/Sale, and provided that such termination occurs in the three months prior to or the twelve months following such Merger/Sale. In addition, in the circumstances described above, our Covered Executives are entitled to receive severance payments in amounts equal to (i) one times their annual salary during the fiscal year in which the termination is effected, (ii) continuation for twelve months of health and social benefits, and (iii) a pro rata portion of their target bonus, if such bonus is earned with respect to the fiscal year in which the termination is effected.</w:t>
      </w:r>
    </w:p>
    <w:p>
      <w:pPr>
        <w:spacing w:after="0" w:line="158"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Upon termination of employment without “cause” or voluntary termination for “good reason”, not in connection with a Merger/Sale, our Chief Executive Officer, Chief Technology Officer and Chief Financial Officer are each entitled to receive severance payments in amounts equal to (i) one times their annual salary during the fiscal year in which the termination is effected, and (ii) continuation for twelve months of health and social benefits.</w:t>
      </w:r>
    </w:p>
    <w:p>
      <w:pPr>
        <w:spacing w:after="0" w:line="155"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The amounts underlying the RSU award granted to our CEO that contains a performance-based vesting condition, a market-based vesting condition which is linked to share price targets, and a service-based vesting condition, will be expensed utilizing the accelerated attribution method over the requisite service period of ten years. The performance-based vesting condition underlying this award was satisfied upon the occurrence of our IPO. The market-based vesting condition and the service-based vesting condition have not as of the date hereof been, and may never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88" w:name="page89"/>
    <w:bookmarkEnd w:id="88"/>
    <w:p>
      <w:pPr>
        <w:ind w:right="100" w:firstLine="318"/>
        <w:spacing w:after="0" w:line="248" w:lineRule="auto"/>
        <w:rPr>
          <w:sz w:val="20"/>
          <w:szCs w:val="20"/>
          <w:color w:val="auto"/>
        </w:rPr>
      </w:pPr>
      <w:r>
        <w:rPr>
          <w:rFonts w:ascii="Arial" w:cs="Arial" w:eastAsia="Arial" w:hAnsi="Arial"/>
          <w:sz w:val="18"/>
          <w:szCs w:val="18"/>
          <w:color w:val="auto"/>
        </w:rPr>
        <w:t>The amounts underlying the RSU awards granted to our officers that contain a performance condition and a service condition, will be expensed utilizing the accelerated attribution method over the requisite service period which is generally four to five years. As of December 31, 2021, the performance condition underlying these awards has been achieved.</w:t>
      </w:r>
    </w:p>
    <w:p>
      <w:pPr>
        <w:spacing w:after="0" w:line="15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amounts underlying the share options granted to our officers during the year ended December 31, 2021, will be expensed on a straight-line basis over the requisite service period which is four years.</w:t>
      </w:r>
    </w:p>
    <w:p>
      <w:pPr>
        <w:spacing w:after="0" w:line="150"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Assumptions and key variables used in the calculation of such amounts are described in Note 2 to our audited consolidated financial statements included in Item 18 of this Annual Report. All equity-based compensation grants to our Covered Executives were made in accordance with the parameters of our Company’s compensation policy and were approved by the company’s compensation committee and board of directors.</w:t>
      </w:r>
    </w:p>
    <w:p>
      <w:pPr>
        <w:spacing w:after="0" w:line="155"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We pay to each of our non-employee directors an annual cash retainer of $30,000, with an additional, annual cash payment for service on board committees as follows: $10,000 (or $20,000 for the chairperson) per membership of the audit committee, $6,000 (or $12,000 for the chairperson) per membership of the compensation committee, or $4,000 (or $8,000 for the chairperson) per membership of the nominating and governance committee or any other board committee. In addition, upon election, any future non-employee director will be granted a one-time equity award under our incentive plan at a value of $350,000, which will vest on a quarterly basis over a period of three years, subject to such director's continued service through such dates. In addition, each non-employee director will be granted equity awards, on an annual basis, under our incentive plan (provided the director is still on the board of directors) at a value of $175,000, which will vest on the first anniversary of the date on which such equity awards were granted, subject to such director’s continued service through such date. Any unvested equity grants will accelerate and fully vest upon the occurrence of a change in control transaction and a preceding or subsequent termination of service. Notwithstanding the foregoing, individual directors may elect to opt out of such cash and equity compensation at their discretion.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generally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 We describe the arrangements with our executive officers above under “</w:t>
      </w:r>
      <w:r>
        <w:rPr>
          <w:rFonts w:ascii="Arial" w:cs="Arial" w:eastAsia="Arial" w:hAnsi="Arial"/>
          <w:sz w:val="18"/>
          <w:szCs w:val="18"/>
          <w:i w:val="1"/>
          <w:iCs w:val="1"/>
          <w:color w:val="auto"/>
        </w:rPr>
        <w:t>Aggregate Compensation of Office Holders</w:t>
      </w:r>
      <w:r>
        <w:rPr>
          <w:rFonts w:ascii="Arial" w:cs="Arial" w:eastAsia="Arial" w:hAnsi="Arial"/>
          <w:sz w:val="18"/>
          <w:szCs w:val="18"/>
          <w:color w:val="auto"/>
        </w:rPr>
        <w:t>.”</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Directors’ Service Contracts</w:t>
      </w:r>
    </w:p>
    <w:p>
      <w:pPr>
        <w:spacing w:after="0" w:line="186" w:lineRule="exact"/>
        <w:rPr>
          <w:sz w:val="20"/>
          <w:szCs w:val="20"/>
          <w:color w:val="auto"/>
        </w:rPr>
      </w:pPr>
    </w:p>
    <w:p>
      <w:pPr>
        <w:ind w:right="240" w:firstLine="318"/>
        <w:spacing w:after="0" w:line="280" w:lineRule="auto"/>
        <w:rPr>
          <w:sz w:val="20"/>
          <w:szCs w:val="20"/>
          <w:color w:val="auto"/>
        </w:rPr>
      </w:pPr>
      <w:r>
        <w:rPr>
          <w:rFonts w:ascii="Arial" w:cs="Arial" w:eastAsia="Arial" w:hAnsi="Arial"/>
          <w:sz w:val="17"/>
          <w:szCs w:val="17"/>
          <w:color w:val="auto"/>
        </w:rPr>
        <w:t>Other than with respect to our directors that are also executive officers, there are no arrangements or understandings between us, on the one hand, and any of our directors, on the other hand, providing for benefits upon termination of their service as directors of the Company.</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Equity Incentive Plans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2013 Equity Incentive Plan</w:t>
      </w:r>
    </w:p>
    <w:p>
      <w:pPr>
        <w:spacing w:after="0" w:line="186"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The 2013 Equity Incentive Plan, or the 2013 Plan, was adopted by our board of directors on July 13, 2013 and amended and restated on February 23, 2021.</w:t>
      </w:r>
    </w:p>
    <w:p>
      <w:pPr>
        <w:spacing w:after="0" w:line="150" w:lineRule="exact"/>
        <w:rPr>
          <w:sz w:val="20"/>
          <w:szCs w:val="20"/>
          <w:color w:val="auto"/>
        </w:rPr>
      </w:pPr>
    </w:p>
    <w:p>
      <w:pPr>
        <w:ind w:right="600" w:firstLine="318"/>
        <w:spacing w:after="0" w:line="251" w:lineRule="auto"/>
        <w:rPr>
          <w:sz w:val="20"/>
          <w:szCs w:val="20"/>
          <w:color w:val="auto"/>
        </w:rPr>
      </w:pPr>
      <w:r>
        <w:rPr>
          <w:rFonts w:ascii="Arial" w:cs="Arial" w:eastAsia="Arial" w:hAnsi="Arial"/>
          <w:sz w:val="18"/>
          <w:szCs w:val="18"/>
          <w:color w:val="auto"/>
        </w:rPr>
        <w:t>Our board of directors, or a duly authorized committee of our board of directors, or the administrator, administers the 2013 Plan. The administrator also has the authority to amend and rescind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regulations relating to the 2013 Plan or terminate the 2013 Plan at any time before the date of expiration of its ten-year term.</w:t>
      </w:r>
    </w:p>
    <w:p>
      <w:pPr>
        <w:spacing w:after="0" w:line="164"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The 2013 Plan provides for the grant of equity-based incentive awards to our employees, directors, office holders, and consultants in order to incentivize them to increase their efforts on behalf of the Company and to promote the success of the Company’s business. We no longer grant any awards under the 2013 Plan, though awards granted before our initial public offering, or the IPO, under the 2013 Plan remain outstanding and are governed by the 2013 Plan.</w:t>
      </w:r>
    </w:p>
    <w:p>
      <w:pPr>
        <w:spacing w:after="0" w:line="155"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As of December 31, 2021, there were 26,460,287 ordinary shares reserved and available for issuance upon the exercise or settlement of outstanding awards under the 2013 Plan including its U.S. Sub-Plan.</w:t>
      </w:r>
    </w:p>
    <w:p>
      <w:pPr>
        <w:spacing w:after="0" w:line="150"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The 2013 Plan provides for granting awards under the Israeli tax regime, including, without limitation, in compliance with Section 102, or Section 102, of the Israeli Income Tax Ordinance (New Version), 5721-1961, or the Ordinance, and Section 3(i) of the Ordinance.</w:t>
      </w:r>
    </w:p>
    <w:p>
      <w:pPr>
        <w:spacing w:after="0" w:line="150"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Section 102 of the Ordinance allows employees, directors and officers who are not controlling shareholders and are considered Israeli residents to receive favorable tax treatment for compensation in the form of shares or options. Our non-employee consultants and controlling shareholders who are considered Israeli residents may only be granted options under Section 3(i) of the Ordinance, which does not provide for similar tax benefits. Section 102 includes two alternatives for tax treatment involving the issuance of options or shares to a trustee for the benefit of the participants and also includes an additional alternative for the issuance of options or shares directly to the participant. Section 102(b)(2) of the Ordinance, the most favorable tax treatment for the participant, permits the issuance to a trustee under the “capital gain track.”</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U.S. Sub-Plan to the 2013 Equity Plan</w:t>
      </w:r>
    </w:p>
    <w:p>
      <w:pPr>
        <w:spacing w:after="0" w:line="186" w:lineRule="exact"/>
        <w:rPr>
          <w:sz w:val="20"/>
          <w:szCs w:val="20"/>
          <w:color w:val="auto"/>
        </w:rPr>
      </w:pPr>
    </w:p>
    <w:p>
      <w:pPr>
        <w:ind w:right="360" w:firstLine="318"/>
        <w:spacing w:after="0" w:line="247" w:lineRule="auto"/>
        <w:rPr>
          <w:sz w:val="20"/>
          <w:szCs w:val="20"/>
          <w:color w:val="auto"/>
        </w:rPr>
      </w:pPr>
      <w:r>
        <w:rPr>
          <w:rFonts w:ascii="Arial" w:cs="Arial" w:eastAsia="Arial" w:hAnsi="Arial"/>
          <w:sz w:val="18"/>
          <w:szCs w:val="18"/>
          <w:color w:val="auto"/>
        </w:rPr>
        <w:t>The U.S. Sub-Plan to the 2013 Plan, or the “U.S. Sub-Plan,” was adopted by our board of directors on July 13, 2013 and amended and restated on February 23, 2021. The U.S. Sub-Plan is to be read as a continuation of the 2013 Plan that only modifies awards granted to participants who are United States residents, United States taxpayers, or those persons who are or could be deemed to be United States taxpayers as determined by the administrator.</w:t>
      </w:r>
    </w:p>
    <w:p>
      <w:pPr>
        <w:spacing w:after="0" w:line="15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U.S. Sub-Plan provides for granting awards to our employees, consultants, and directors. Awards granted pursuant to the U.S. Sub-Plan to participants in the United States shall be exempt from or comply with Section 409A of the Code. An incentive stock option within the meaning of Section 422(b) of the Code, may be granted only to a person who, on the effective date of grant, is an employee. Any person who is not an employee on the effective date of the grant may be granted only a nonstatutory stock option.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Share Incentive Plan</w:t>
      </w:r>
    </w:p>
    <w:p>
      <w:pPr>
        <w:spacing w:after="0" w:line="186"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adopted the 2021 Share Incentive Plan, or the 2021 Plan, immediately prior our IPO. The 2021 Plan provides for the grant of equity-based incentive awards to our employees, directors, office holders, service providers and consultants in order to incentivize them to increase their efforts on behalf of the Company and to promote the success of the Company’s business. The 2021 Plan is administered by our board of directors, which has the authority to amend and rescind rules and regulations relating to the 2021 Plan or terminate the 2021 Plan at any time before the expiration of its ten year term, as well as to approve the conversion, substitution, cancellation or suspension under and in accordance with the 2021 Plan of any or all option awards or Class A ordinary shares, and the authority to modify the option awards to eligible individuals who are foreign nationals or are individuals who are employed outside of Israel to recognize differences in local law, tax policy or custom, in order to effectuate the purposes of the 2021 Plan but without amending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90" w:name="page91"/>
    <w:bookmarkEnd w:id="90"/>
    <w:p>
      <w:pPr>
        <w:ind w:right="40" w:firstLine="318"/>
        <w:spacing w:after="0" w:line="262" w:lineRule="auto"/>
        <w:rPr>
          <w:sz w:val="20"/>
          <w:szCs w:val="20"/>
          <w:color w:val="auto"/>
        </w:rPr>
      </w:pPr>
      <w:r>
        <w:rPr>
          <w:rFonts w:ascii="Arial" w:cs="Arial" w:eastAsia="Arial" w:hAnsi="Arial"/>
          <w:sz w:val="17"/>
          <w:szCs w:val="17"/>
          <w:color w:val="auto"/>
        </w:rPr>
        <w:t>The maximum number of Class A ordinary shares available for issuance under the 2021 Plan is equal to the sum of (i) 13,951,037 Class A ordinary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2021 Plan, equal to the lesser of (A) 5% of the outstanding Class A ordinary shares of the Company on the last day of the immediately preceding calendar year, on a fully diluted and as converted basis; and (B) such amount as determined by our board of directors if so determined prior to January 1 of a calendar year, provided that no more than 13,951,037 Class A ordinary shares may be issued upon the exercise of Incentive Stock Options. If permitted by our board of directors, shares tendered to pay the exercise price or withholding tax obligations with respect to an award granted under the 2021 Plan or the 2013 Plan may again be available for issuance under the 2021 Plan. Our board of directors may also reduce the number of Class A ordinary shares reserved and available for issuance under the 2021 Plan in its discretion. As of December 31, 2021, a total of 150,000 options to purchase ordinary shares, with a weighted average exercise price of $0.0003 per share and 686,585 restricted share units were outstanding under the 2021 Plan. As of December 31, 2021, 13,442,554 ordinary shares were available for future issuance under the 2021 Plan.</w:t>
      </w:r>
    </w:p>
    <w:p>
      <w:pPr>
        <w:spacing w:after="0" w:line="142"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The 2021 Plan provides for granting awards under various tax regimes, including, without limitation, in compliance with Section 102 or Section 3(i) of the Ordinance, and for awards granted to our United States employees or service providers, including those who are deemed to be residents of the United States for tax purposes, Section 422 of the Code and Section 409A of the Code.</w:t>
      </w:r>
    </w:p>
    <w:p>
      <w:pPr>
        <w:spacing w:after="0" w:line="153"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The 2021 Plan provides for the grant of stock options (including incentive stock options and non-qualified stock options), Class A ordinary shares, restricted shares, RSUs, stock appreciation rights and other share-based awards.</w:t>
      </w:r>
    </w:p>
    <w:p>
      <w:pPr>
        <w:spacing w:after="0" w:line="150"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Options granted under the 2021 Plan to the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shareholders, not less than 110%.</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Employee Share Purchase Plan</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adopted the 2021 Employee Share Purchase Plan, or ESPP, immediately prior to our IPO. However, through the date hereof we have not effected any offering under the ESPP.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non-U.S. law and other considerations (the “Non-Section 423 Component”).</w:t>
      </w:r>
    </w:p>
    <w:p>
      <w:pPr>
        <w:spacing w:after="0" w:line="158"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A total of 3,742,961 Class A ordinary shares are available for sale under the ESPP, subject to adjustment as provided for in the ESPP. In addition, on the first day of each fiscal year beginning on January 1, 2022 and ending on and including January 1, 2031, such pool of Class A ordinary shares shall be increased by that number of our Class A ordinary shares equal to the lesser of: (i) 1% of the outstanding Class A ordinary shares as of the last day of the immediately preceding fiscal year, determined on a fully diluted as-converted basis; or (ii) such other amount as our board of directors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1" w:name="page92"/>
    <w:bookmarkEnd w:id="91"/>
    <w:p>
      <w:pPr>
        <w:ind w:left="320"/>
        <w:spacing w:after="0"/>
        <w:rPr>
          <w:sz w:val="20"/>
          <w:szCs w:val="20"/>
          <w:color w:val="auto"/>
        </w:rPr>
      </w:pPr>
      <w:r>
        <w:rPr>
          <w:rFonts w:ascii="Arial" w:cs="Arial" w:eastAsia="Arial" w:hAnsi="Arial"/>
          <w:sz w:val="18"/>
          <w:szCs w:val="18"/>
          <w:color w:val="auto"/>
        </w:rPr>
        <w:t>In no event will more than 3,742,961 Class A ordinary shares be available for issuance under the Section 423 Component.</w:t>
      </w:r>
    </w:p>
    <w:p>
      <w:pPr>
        <w:spacing w:after="0" w:line="164"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Unless otherwise determined by our board of directors, the compensation committee of our board of directors will administer the ESPP and has the authority to interpret the terms of the ESPP and determine eligibility under the ESPP and applicable law.</w:t>
      </w:r>
    </w:p>
    <w:p>
      <w:pPr>
        <w:spacing w:after="0" w:line="15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Participation in the Section 423 Component may be limited in the terms of any offering to employees of the Company and any of its designated subsidiaries (a) who customarily work 20 hours or more per week, (b) whose customary employment is for more than five months per calendar year and (c) who satisfy the procedural enrollment and other requirements set forth in the ESPP. Under the Section 423 Component, designated subsidiaries include any subsidiary (within the meaning of Section 424(f) of the Code) of the Company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the Company has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of the Company or any of its subsidiaries. In addition, in order to facilitate participation in the ESPP, the compensation committee may provide for such special terms applicable to participants who 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Board Practices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an Israeli company, we are subject to various corporate governance requirements under the Companies Law. However, pursuant to regulations promulgated under the Companies Law, companies with shares traded on certain U.S. stock exchanges, including the NYSE, may, subject to certain conditions, “opt out” from the Companies Law requirements to appoint external directors and related Companies Law rules described below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the NYSE, and (iii) we comply with the director independence requirements and the audit committee and compensation committee composition requirements under U.S. laws (including applicable rules of the NYSE) applicable to U.S. domestic issuers.</w:t>
      </w:r>
    </w:p>
    <w:p>
      <w:pPr>
        <w:spacing w:after="0" w:line="157" w:lineRule="exact"/>
        <w:rPr>
          <w:sz w:val="20"/>
          <w:szCs w:val="20"/>
          <w:color w:val="auto"/>
        </w:rPr>
      </w:pPr>
    </w:p>
    <w:p>
      <w:pPr>
        <w:jc w:val="both"/>
        <w:ind w:right="520" w:firstLine="318"/>
        <w:spacing w:after="0" w:line="248" w:lineRule="auto"/>
        <w:rPr>
          <w:sz w:val="20"/>
          <w:szCs w:val="20"/>
          <w:color w:val="auto"/>
        </w:rPr>
      </w:pPr>
      <w:r>
        <w:rPr>
          <w:rFonts w:ascii="Arial" w:cs="Arial" w:eastAsia="Arial" w:hAnsi="Arial"/>
          <w:sz w:val="18"/>
          <w:szCs w:val="18"/>
          <w:color w:val="auto"/>
        </w:rPr>
        <w:t>We are a “foreign private issuer” (as such term is defined in Rule 3b-4 under the Exchange Act). As a “foreign private issuer” we are permitted to comply with Israeli corporate governance practices instead of the corporate governance rules of the NYSE, provided that we disclose which requirements we are not following and the equivalent Israeli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92" w:name="page93"/>
    <w:bookmarkEnd w:id="92"/>
    <w:p>
      <w:pPr>
        <w:ind w:right="360" w:firstLine="318"/>
        <w:spacing w:after="0" w:line="248"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35" w:lineRule="exact"/>
        <w:rPr>
          <w:sz w:val="20"/>
          <w:szCs w:val="20"/>
          <w:color w:val="auto"/>
        </w:rPr>
      </w:pPr>
    </w:p>
    <w:p>
      <w:pPr>
        <w:ind w:right="860" w:firstLine="318"/>
        <w:spacing w:after="0" w:line="272" w:lineRule="auto"/>
        <w:rPr>
          <w:sz w:val="20"/>
          <w:szCs w:val="20"/>
          <w:color w:val="auto"/>
        </w:rPr>
      </w:pPr>
      <w:r>
        <w:rPr>
          <w:rFonts w:ascii="Arial" w:cs="Arial" w:eastAsia="Arial" w:hAnsi="Arial"/>
          <w:sz w:val="18"/>
          <w:szCs w:val="18"/>
          <w:color w:val="auto"/>
        </w:rPr>
        <w:t>For more information regarding our corporate governance practices and “foreign private issuer” status, see Item 16G.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Board of Directors</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Under our amended and restated articles of association, the number of directors on our board of directors is no less than three and no more than eleven directors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Therefore, beginning with the annual general meeting in 2022, each year the term of office of only one class of directors will expire.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164"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Class 1 directors are Aaron Mankovski and Erez Shachar, and their terms expire at the annual meeting of shareholders to be held</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 2022;</w:t>
      </w:r>
    </w:p>
    <w:p>
      <w:pPr>
        <w:spacing w:after="0" w:line="164" w:lineRule="exact"/>
        <w:rPr>
          <w:rFonts w:ascii="Arial" w:cs="Arial" w:eastAsia="Arial" w:hAnsi="Arial"/>
          <w:sz w:val="17"/>
          <w:szCs w:val="17"/>
          <w:color w:val="auto"/>
        </w:rPr>
      </w:pPr>
    </w:p>
    <w:p>
      <w:pPr>
        <w:ind w:right="80" w:firstLine="324"/>
        <w:spacing w:after="0" w:line="251"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Class II directors are Assaf Feldman and Tanzeen Syed, and their terms expire at our annual meeting of shareholders to be held in 2023; and</w:t>
      </w:r>
    </w:p>
    <w:p>
      <w:pPr>
        <w:spacing w:after="0" w:line="150" w:lineRule="exact"/>
        <w:rPr>
          <w:rFonts w:ascii="Arial" w:cs="Arial" w:eastAsia="Arial" w:hAnsi="Arial"/>
          <w:sz w:val="18"/>
          <w:szCs w:val="18"/>
          <w:color w:val="auto"/>
        </w:rPr>
      </w:pPr>
    </w:p>
    <w:p>
      <w:pPr>
        <w:ind w:firstLine="324"/>
        <w:spacing w:after="0" w:line="251"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Class III directors are Eido Gal, Eyal Kishon, and Jennifer Ceran, and their terms expire at our annual meeting of shareholders to be held in 2024.</w:t>
      </w:r>
    </w:p>
    <w:p>
      <w:pPr>
        <w:spacing w:after="0" w:line="15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Pursuant to our amended and restated articles of association, our directors are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 entitled to one vote per share, and each Class B ordinary share entitled to ten votes per share. However, in the event of a contested election, (i)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93" w:name="page94"/>
    <w:bookmarkEnd w:id="93"/>
    <w:p>
      <w:pPr>
        <w:ind w:right="140" w:firstLine="318"/>
        <w:spacing w:after="0" w:line="280" w:lineRule="auto"/>
        <w:rPr>
          <w:sz w:val="20"/>
          <w:szCs w:val="20"/>
          <w:color w:val="auto"/>
        </w:rPr>
      </w:pPr>
      <w:r>
        <w:rPr>
          <w:rFonts w:ascii="Arial" w:cs="Arial" w:eastAsia="Arial" w:hAnsi="Arial"/>
          <w:sz w:val="17"/>
          <w:szCs w:val="17"/>
          <w:color w:val="auto"/>
        </w:rPr>
        <w:t>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2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Under our amended and restated articles of association, the approval of the holders of at least 65% of the total voting power of our shareholders is generally required to remove any of our directors from office or amend the provision requiring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In the case of a vacancy due to the number of directors being less than the maximum number of directors stated in our amended and restated articles of association, the new director filling the vacancy will serve until the next annual general meeting of our shareholders for the election of the class of directors to which such director was assigned by our board of directors.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Chairperson of the Board of Directors</w:t>
      </w:r>
    </w:p>
    <w:p>
      <w:pPr>
        <w:spacing w:after="0" w:line="186"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Our amended and restated articles of association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and the chairperson of the board of directors, or a relative of the chairperson, may not be vested with authorities of the chief executive officer unless approved by a special majority of the company’s shareholders.</w:t>
      </w:r>
    </w:p>
    <w:p>
      <w:pPr>
        <w:spacing w:after="0" w:line="154"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The shareholders’ approval can be effective for a period of five years following the IPO, and subsequently, for additional periods of up to three years.</w:t>
      </w:r>
    </w:p>
    <w:p>
      <w:pPr>
        <w:spacing w:after="0" w:line="15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55"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During a special and annual general meeting of our shareholders held on July 15, 2021, our shareholders approved the appointment of Eido Gal as Chairperson of our board of directors in addition to his role as our Chief Executive Officer. According to the Companies Law and the regulations promulgated thereunder, such appointment is valid for an initial term of five years from the closing of our IPO. Following such initial term, each renewal of the appointment of our Chief Executive Officer as Chairperson of the board of directors will be subject to the shareholder approval described above and will be limited to a three-year term.</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Lead Independent Director</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as long as the Chairperson of our board of directors is a member of our management or is otherwise not independent pursuant to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NYSE rules, our board of directors may appoint a Lead Independent Director. The Lead Independent Director responsibilities include:</w:t>
      </w:r>
    </w:p>
    <w:p>
      <w:pPr>
        <w:spacing w:after="0" w:line="164"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presiding over all meetings of the board of directors at which the Chairperson of the Board is not present;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board of director meeting schedules and agendas;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acting as the liaison between the independent directors and the Chief Executive Officer and 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4" w:name="page95"/>
    <w:bookmarkEnd w:id="94"/>
    <w:p>
      <w:pPr>
        <w:ind w:right="540" w:firstLine="318"/>
        <w:spacing w:after="0" w:line="251" w:lineRule="auto"/>
        <w:rPr>
          <w:sz w:val="20"/>
          <w:szCs w:val="20"/>
          <w:color w:val="auto"/>
        </w:rPr>
      </w:pPr>
      <w:r>
        <w:rPr>
          <w:rFonts w:ascii="Arial" w:cs="Arial" w:eastAsia="Arial" w:hAnsi="Arial"/>
          <w:sz w:val="18"/>
          <w:szCs w:val="18"/>
          <w:color w:val="auto"/>
        </w:rPr>
        <w:t>As Eido Gal is currently our Chief Executive Officer and Chairperson of the Board of Directors, the members of our board of directors elected Eyal Kishon to be the Lead Independent Director.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External Directors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the NYSE, are required to appoint at least two external directors. Pursuant to regulations promulgated under the Companies Law, companies with shares traded on certain U.S. stock exchanges, including the NYSE,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86"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Our board has three standing committees: an Audit Committee, a Compensation Committee and a Nominating and Governance Committee. Each of these committees is governed by a charter that is consistent with applicable SEC and NYSE corporate governance rules and is available on our investor relations website at http://ir.riskified.com. The information contained on our website is not incorporated by reference in this Annual Report.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Audit Committee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Under the corporate governance rules of the NYSE, we are required to maintain an audit committee consisting of at least three independent directors, each of whom is financially literate and one of whom has accounting or related financial management expertise.</w:t>
      </w:r>
    </w:p>
    <w:p>
      <w:pPr>
        <w:spacing w:after="0" w:line="150"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Our audit committee consists of Jennifer Ceran, Tanzeen Syed and Erez Shachar. Jennifer Ceran serves as the chairperson of the audit committee. All members of our audit committee meet the requirements for financial literacy under the applicable rules and regulations of the SEC and the corporate governance rules of the NYSE. Our board of directors has determined that Jennifer Ceran is an “audit committee financial expert” as defined by the SEC rules and has the requisite financial experience as defined by the corporate governance rules of the NYSE.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board of directors has determined that each member of our audit committee is “independent” as such term is defined in Rule 10A-3(b)</w:t>
      </w:r>
    </w:p>
    <w:p>
      <w:pPr>
        <w:spacing w:after="0" w:line="17" w:lineRule="exact"/>
        <w:rPr>
          <w:sz w:val="20"/>
          <w:szCs w:val="20"/>
          <w:color w:val="auto"/>
        </w:rPr>
      </w:pPr>
    </w:p>
    <w:p>
      <w:pPr>
        <w:ind w:left="280" w:hanging="274"/>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 the Exchange Act which is different from the general test for independence of board and committee members.</w:t>
      </w:r>
    </w:p>
    <w:p>
      <w:pPr>
        <w:spacing w:after="0" w:line="14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Audit Committee Role</w:t>
      </w:r>
    </w:p>
    <w:p>
      <w:pPr>
        <w:spacing w:after="0" w:line="186"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which are consistent with the Companies Law, the SEC rules and the corporate governance rules of the NYSE and include:</w:t>
      </w:r>
    </w:p>
    <w:p>
      <w:pPr>
        <w:spacing w:after="0" w:line="150" w:lineRule="exact"/>
        <w:rPr>
          <w:sz w:val="20"/>
          <w:szCs w:val="20"/>
          <w:color w:val="auto"/>
        </w:rPr>
      </w:pPr>
    </w:p>
    <w:p>
      <w:pPr>
        <w:ind w:right="500" w:firstLine="324"/>
        <w:spacing w:after="0" w:line="251"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ratification by our board of directors, and in the case of retention, to ratification by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95" w:name="page96"/>
    <w:bookmarkEnd w:id="95"/>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pre-approving audit and non-audit services to be provided by the independent auditors and related fees and terms;</w:t>
      </w:r>
    </w:p>
    <w:p>
      <w:pPr>
        <w:spacing w:after="0" w:line="164" w:lineRule="exact"/>
        <w:rPr>
          <w:rFonts w:ascii="Arial" w:cs="Arial" w:eastAsia="Arial" w:hAnsi="Arial"/>
          <w:sz w:val="18"/>
          <w:szCs w:val="18"/>
          <w:color w:val="auto"/>
        </w:rPr>
      </w:pPr>
    </w:p>
    <w:p>
      <w:pPr>
        <w:ind w:right="20" w:firstLine="324"/>
        <w:spacing w:after="0" w:line="248"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the Company and audits of our consolidated financial statements, the effectiveness of our internal controls over financial reporting and making such reports as may be required of an audit committee under the rules and regulations promulgated under the Exchange Act;</w:t>
      </w:r>
    </w:p>
    <w:p>
      <w:pPr>
        <w:spacing w:after="0" w:line="153" w:lineRule="exact"/>
        <w:rPr>
          <w:rFonts w:ascii="Arial" w:cs="Arial" w:eastAsia="Arial" w:hAnsi="Arial"/>
          <w:sz w:val="18"/>
          <w:szCs w:val="18"/>
          <w:color w:val="auto"/>
        </w:rPr>
      </w:pPr>
    </w:p>
    <w:p>
      <w:pPr>
        <w:ind w:firstLine="324"/>
        <w:spacing w:after="0" w:line="251"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consolidated financial statements prior to publication or filing (or submission, as the case may be) to the SEC;</w:t>
      </w:r>
    </w:p>
    <w:p>
      <w:pPr>
        <w:spacing w:after="0" w:line="150" w:lineRule="exact"/>
        <w:rPr>
          <w:rFonts w:ascii="Arial" w:cs="Arial" w:eastAsia="Arial" w:hAnsi="Arial"/>
          <w:sz w:val="18"/>
          <w:szCs w:val="18"/>
          <w:color w:val="auto"/>
        </w:rPr>
      </w:pPr>
    </w:p>
    <w:p>
      <w:pPr>
        <w:ind w:right="40" w:firstLine="324"/>
        <w:spacing w:after="0" w:line="280" w:lineRule="auto"/>
        <w:tabs>
          <w:tab w:leader="none" w:pos="6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126" w:lineRule="exact"/>
        <w:rPr>
          <w:rFonts w:ascii="Arial" w:cs="Arial" w:eastAsia="Arial" w:hAnsi="Arial"/>
          <w:sz w:val="17"/>
          <w:szCs w:val="17"/>
          <w:color w:val="auto"/>
        </w:rPr>
      </w:pPr>
    </w:p>
    <w:p>
      <w:pPr>
        <w:ind w:right="80" w:firstLine="324"/>
        <w:spacing w:after="0" w:line="251"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evaluating the Company’s compliance with applicable regulatory and legal requirements and overseeing management’s measures and actions to mitigate any potential noncompliance with such requirements;</w:t>
      </w:r>
    </w:p>
    <w:p>
      <w:pPr>
        <w:spacing w:after="0" w:line="150" w:lineRule="exact"/>
        <w:rPr>
          <w:rFonts w:ascii="Arial" w:cs="Arial" w:eastAsia="Arial" w:hAnsi="Arial"/>
          <w:sz w:val="18"/>
          <w:szCs w:val="18"/>
          <w:color w:val="auto"/>
        </w:rPr>
      </w:pPr>
    </w:p>
    <w:p>
      <w:pPr>
        <w:ind w:right="500" w:firstLine="324"/>
        <w:spacing w:after="0" w:line="251"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inter alia, by consulting with the internal auditor, and suggesting corrective measures to the board of directors;</w:t>
      </w:r>
    </w:p>
    <w:p>
      <w:pPr>
        <w:spacing w:after="0" w:line="150" w:lineRule="exact"/>
        <w:rPr>
          <w:rFonts w:ascii="Arial" w:cs="Arial" w:eastAsia="Arial" w:hAnsi="Arial"/>
          <w:sz w:val="18"/>
          <w:szCs w:val="18"/>
          <w:color w:val="auto"/>
        </w:rPr>
      </w:pPr>
    </w:p>
    <w:p>
      <w:pPr>
        <w:ind w:firstLine="324"/>
        <w:spacing w:after="0" w:line="270" w:lineRule="auto"/>
        <w:tabs>
          <w:tab w:leader="none" w:pos="6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35" w:lineRule="exact"/>
        <w:rPr>
          <w:rFonts w:ascii="Arial" w:cs="Arial" w:eastAsia="Arial" w:hAnsi="Arial"/>
          <w:sz w:val="17"/>
          <w:szCs w:val="17"/>
          <w:color w:val="auto"/>
        </w:rPr>
      </w:pPr>
    </w:p>
    <w:p>
      <w:pPr>
        <w:ind w:right="440" w:firstLine="324"/>
        <w:spacing w:after="0" w:line="251"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Compensation Committee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Companies Law, the board of directors of a public company must appoint a compensation committee.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86" w:lineRule="exact"/>
        <w:rPr>
          <w:sz w:val="20"/>
          <w:szCs w:val="20"/>
          <w:color w:val="auto"/>
        </w:rPr>
      </w:pPr>
    </w:p>
    <w:p>
      <w:pPr>
        <w:ind w:right="520" w:firstLine="318"/>
        <w:spacing w:after="0" w:line="251" w:lineRule="auto"/>
        <w:rPr>
          <w:sz w:val="20"/>
          <w:szCs w:val="20"/>
          <w:color w:val="auto"/>
        </w:rPr>
      </w:pPr>
      <w:r>
        <w:rPr>
          <w:rFonts w:ascii="Arial" w:cs="Arial" w:eastAsia="Arial" w:hAnsi="Arial"/>
          <w:sz w:val="18"/>
          <w:szCs w:val="18"/>
          <w:color w:val="auto"/>
        </w:rPr>
        <w:t>Under the corporate governance rules of the NYSE, we are required to maintain a compensation committee consisting of at least two independent directors.</w:t>
      </w:r>
    </w:p>
    <w:p>
      <w:pPr>
        <w:spacing w:after="0" w:line="150" w:lineRule="exact"/>
        <w:rPr>
          <w:sz w:val="20"/>
          <w:szCs w:val="20"/>
          <w:color w:val="auto"/>
        </w:rPr>
      </w:pPr>
    </w:p>
    <w:p>
      <w:pPr>
        <w:ind w:right="160" w:firstLine="318"/>
        <w:spacing w:after="0" w:line="270" w:lineRule="auto"/>
        <w:rPr>
          <w:sz w:val="20"/>
          <w:szCs w:val="20"/>
          <w:color w:val="auto"/>
        </w:rPr>
      </w:pPr>
      <w:r>
        <w:rPr>
          <w:rFonts w:ascii="Arial" w:cs="Arial" w:eastAsia="Arial" w:hAnsi="Arial"/>
          <w:sz w:val="17"/>
          <w:szCs w:val="17"/>
          <w:color w:val="auto"/>
        </w:rPr>
        <w:t>Our compensation committee consists of Eyal Kishon, Tanzeen Syed, and Erez Shachar. Eyal Kishon serves as chairperson of the committee. Our board of directors has determined that each member of our compensation committee is independent under the corporate governance rules of the NYSE, including the additional independence requirements applicable to the members of a compensation committee.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pacing w:after="0" w:line="164" w:lineRule="exact"/>
        <w:rPr>
          <w:sz w:val="20"/>
          <w:szCs w:val="20"/>
          <w:color w:val="auto"/>
        </w:rPr>
      </w:pPr>
    </w:p>
    <w:p>
      <w:pPr>
        <w:ind w:right="100" w:firstLine="324"/>
        <w:spacing w:after="0" w:line="251" w:lineRule="auto"/>
        <w:tabs>
          <w:tab w:leader="none" w:pos="6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making recommendations to our board of directors with respect to the approval of the compensation policy for office holders and, once every three years, regarding any extensions to a compensation policy that was adopted for a period of more than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96" w:name="page97"/>
    <w:bookmarkEnd w:id="96"/>
    <w:p>
      <w:pPr>
        <w:ind w:right="540" w:firstLine="324"/>
        <w:spacing w:after="0" w:line="251" w:lineRule="auto"/>
        <w:tabs>
          <w:tab w:leader="none" w:pos="6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making recommendations to our board of directors with respect to any amendments or updates of the compensation policy;</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exempting, under certain circumstances, a transaction with our Chief Executive Officer from the approval of our shareholders</w:t>
      </w:r>
    </w:p>
    <w:p>
      <w:pPr>
        <w:spacing w:after="0" w:line="164"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 xml:space="preserve">An office holder is defined in the Companies Law as a director, general manager, chief business manager, deputy general manager, vice general manager, any other person assuming the responsibilities of any of these positions regardless of such person’s title, and any other manager directly subordinate to the general manager. Each person listed in the table under </w:t>
      </w:r>
      <w:r>
        <w:rPr>
          <w:rFonts w:ascii="Arial" w:cs="Arial" w:eastAsia="Arial" w:hAnsi="Arial"/>
          <w:sz w:val="18"/>
          <w:szCs w:val="18"/>
          <w:i w:val="1"/>
          <w:iCs w:val="1"/>
          <w:color w:val="auto"/>
        </w:rPr>
        <w:t>“Directors, Senior Management and Employees —</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 is an office holder under the Companies Law.</w:t>
      </w:r>
    </w:p>
    <w:p>
      <w:pPr>
        <w:spacing w:after="0" w:line="155" w:lineRule="exact"/>
        <w:rPr>
          <w:sz w:val="20"/>
          <w:szCs w:val="20"/>
          <w:color w:val="auto"/>
        </w:rPr>
      </w:pPr>
    </w:p>
    <w:p>
      <w:pPr>
        <w:ind w:right="740" w:firstLine="318"/>
        <w:spacing w:after="0" w:line="251" w:lineRule="auto"/>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are consistent with the corporate governance rules of the NYSE and include among others:</w:t>
      </w:r>
    </w:p>
    <w:p>
      <w:pPr>
        <w:spacing w:after="0" w:line="150" w:lineRule="exact"/>
        <w:rPr>
          <w:sz w:val="20"/>
          <w:szCs w:val="20"/>
          <w:color w:val="auto"/>
        </w:rPr>
      </w:pPr>
    </w:p>
    <w:p>
      <w:pPr>
        <w:ind w:right="40" w:firstLine="324"/>
        <w:spacing w:after="0" w:line="247" w:lineRule="auto"/>
        <w:tabs>
          <w:tab w:leader="none" w:pos="6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154" w:lineRule="exact"/>
        <w:rPr>
          <w:rFonts w:ascii="Arial" w:cs="Arial" w:eastAsia="Arial" w:hAnsi="Arial"/>
          <w:sz w:val="18"/>
          <w:szCs w:val="18"/>
          <w:color w:val="auto"/>
        </w:rPr>
      </w:pPr>
    </w:p>
    <w:p>
      <w:pPr>
        <w:ind w:right="140" w:firstLine="324"/>
        <w:spacing w:after="0" w:line="248" w:lineRule="auto"/>
        <w:tabs>
          <w:tab w:leader="none" w:pos="6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 and</w:t>
      </w:r>
    </w:p>
    <w:p>
      <w:pPr>
        <w:spacing w:after="0" w:line="164" w:lineRule="exact"/>
        <w:rPr>
          <w:rFonts w:ascii="Arial" w:cs="Arial" w:eastAsia="Arial" w:hAnsi="Arial"/>
          <w:sz w:val="18"/>
          <w:szCs w:val="18"/>
          <w:color w:val="auto"/>
        </w:rPr>
      </w:pPr>
    </w:p>
    <w:p>
      <w:pPr>
        <w:ind w:right="160" w:firstLine="324"/>
        <w:spacing w:after="0" w:line="248" w:lineRule="auto"/>
        <w:tabs>
          <w:tab w:leader="none" w:pos="6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Policy under the Companies Law</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(excluding abstentions) at a general meeting of shareholders, provided that either:</w:t>
      </w:r>
    </w:p>
    <w:p>
      <w:pPr>
        <w:spacing w:after="0" w:line="154" w:lineRule="exact"/>
        <w:rPr>
          <w:sz w:val="20"/>
          <w:szCs w:val="20"/>
          <w:color w:val="auto"/>
        </w:rPr>
      </w:pPr>
    </w:p>
    <w:p>
      <w:pPr>
        <w:ind w:right="360" w:firstLine="324"/>
        <w:spacing w:after="0" w:line="251" w:lineRule="auto"/>
        <w:tabs>
          <w:tab w:leader="none" w:pos="6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shareholders who are not controlling shareholders and shareholders who do not have personal interest in such compensation policy; or</w:t>
      </w:r>
    </w:p>
    <w:p>
      <w:pPr>
        <w:spacing w:after="0" w:line="150" w:lineRule="exact"/>
        <w:rPr>
          <w:rFonts w:ascii="Arial" w:cs="Arial" w:eastAsia="Arial" w:hAnsi="Arial"/>
          <w:sz w:val="18"/>
          <w:szCs w:val="18"/>
          <w:color w:val="auto"/>
        </w:rPr>
      </w:pPr>
    </w:p>
    <w:p>
      <w:pPr>
        <w:ind w:right="180" w:firstLine="324"/>
        <w:spacing w:after="0" w:line="251" w:lineRule="auto"/>
        <w:tabs>
          <w:tab w:leader="none" w:pos="6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7" w:name="page98"/>
    <w:bookmarkEnd w:id="97"/>
    <w:p>
      <w:pPr>
        <w:jc w:val="both"/>
        <w:ind w:right="60" w:firstLine="318"/>
        <w:spacing w:after="0" w:line="270" w:lineRule="auto"/>
        <w:rPr>
          <w:sz w:val="20"/>
          <w:szCs w:val="20"/>
          <w:color w:val="auto"/>
        </w:rPr>
      </w:pPr>
      <w:r>
        <w:rPr>
          <w:rFonts w:ascii="Arial" w:cs="Arial" w:eastAsia="Arial" w:hAnsi="Arial"/>
          <w:sz w:val="17"/>
          <w:szCs w:val="17"/>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If a company that initially offers its securities to the public, like us, adopts a compensation policy in advance of its initial public offering, and describes it in its prospectus for such offering,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15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58"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office holder’s position and responsibilities;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compensation agreements with the office holder;</w:t>
      </w:r>
    </w:p>
    <w:p>
      <w:pPr>
        <w:spacing w:after="0" w:line="164" w:lineRule="exact"/>
        <w:rPr>
          <w:rFonts w:ascii="Arial" w:cs="Arial" w:eastAsia="Arial" w:hAnsi="Arial"/>
          <w:sz w:val="18"/>
          <w:szCs w:val="18"/>
          <w:color w:val="auto"/>
        </w:rPr>
      </w:pPr>
    </w:p>
    <w:p>
      <w:pPr>
        <w:jc w:val="both"/>
        <w:ind w:right="60" w:firstLine="324"/>
        <w:spacing w:after="0" w:line="247" w:lineRule="auto"/>
        <w:tabs>
          <w:tab w:leader="none" w:pos="6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the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54" w:lineRule="exact"/>
        <w:rPr>
          <w:rFonts w:ascii="Arial" w:cs="Arial" w:eastAsia="Arial" w:hAnsi="Arial"/>
          <w:sz w:val="18"/>
          <w:szCs w:val="18"/>
          <w:color w:val="auto"/>
        </w:rPr>
      </w:pPr>
    </w:p>
    <w:p>
      <w:pPr>
        <w:ind w:right="80" w:firstLine="324"/>
        <w:spacing w:after="0" w:line="251" w:lineRule="auto"/>
        <w:tabs>
          <w:tab w:leader="none" w:pos="6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50" w:lineRule="exact"/>
        <w:rPr>
          <w:rFonts w:ascii="Arial" w:cs="Arial" w:eastAsia="Arial" w:hAnsi="Arial"/>
          <w:sz w:val="18"/>
          <w:szCs w:val="18"/>
          <w:color w:val="auto"/>
        </w:rPr>
      </w:pPr>
    </w:p>
    <w:p>
      <w:pPr>
        <w:ind w:right="260" w:firstLine="324"/>
        <w:spacing w:after="0" w:line="247" w:lineRule="auto"/>
        <w:tabs>
          <w:tab w:leader="none" w:pos="6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company’s goals and the maximization of its profits and the circumstances under which he or she is leaving the company.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compensation policy must also include, among other things:</w:t>
      </w:r>
    </w:p>
    <w:p>
      <w:pPr>
        <w:spacing w:after="0" w:line="164"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164" w:lineRule="exact"/>
        <w:rPr>
          <w:sz w:val="20"/>
          <w:szCs w:val="20"/>
          <w:color w:val="auto"/>
        </w:rPr>
      </w:pPr>
    </w:p>
    <w:p>
      <w:pPr>
        <w:ind w:right="280" w:firstLine="324"/>
        <w:spacing w:after="0" w:line="248" w:lineRule="auto"/>
        <w:tabs>
          <w:tab w:leader="none" w:pos="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amount is not higher than three months’ salary per annum, taking into account such office holder’s contribution to the company; and</w:t>
      </w:r>
    </w:p>
    <w:p>
      <w:pPr>
        <w:spacing w:after="0" w:line="164" w:lineRule="exact"/>
        <w:rPr>
          <w:sz w:val="20"/>
          <w:szCs w:val="20"/>
          <w:color w:val="auto"/>
        </w:rPr>
      </w:pPr>
    </w:p>
    <w:p>
      <w:pPr>
        <w:ind w:right="100" w:firstLine="324"/>
        <w:spacing w:after="0" w:line="251" w:lineRule="auto"/>
        <w:tabs>
          <w:tab w:leader="none" w:pos="6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150" w:lineRule="exact"/>
        <w:rPr>
          <w:sz w:val="20"/>
          <w:szCs w:val="20"/>
          <w:color w:val="auto"/>
        </w:rPr>
      </w:pPr>
    </w:p>
    <w:p>
      <w:pPr>
        <w:ind w:firstLine="324"/>
        <w:spacing w:after="0" w:line="248" w:lineRule="auto"/>
        <w:tabs>
          <w:tab w:leader="none" w:pos="6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clawback provision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53" w:lineRule="exact"/>
        <w:rPr>
          <w:rFonts w:ascii="Arial" w:cs="Arial" w:eastAsia="Arial" w:hAnsi="Arial"/>
          <w:sz w:val="18"/>
          <w:szCs w:val="18"/>
          <w:color w:val="auto"/>
        </w:rPr>
      </w:pPr>
    </w:p>
    <w:p>
      <w:pPr>
        <w:ind w:right="820" w:firstLine="324"/>
        <w:spacing w:after="0" w:line="251" w:lineRule="auto"/>
        <w:tabs>
          <w:tab w:leader="none" w:pos="6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164"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compensation policy, which became effective immediately prior to the closing of the IPO,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58"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158"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158"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155"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The equity-based compensation under our compensation policy for our executive officers (including members of our board of directors) is designed in a manner consistent with the underlying objectives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9" w:name="page100"/>
    <w:bookmarkEnd w:id="99"/>
    <w:p>
      <w:pPr>
        <w:ind w:right="20"/>
        <w:spacing w:after="0" w:line="263" w:lineRule="auto"/>
        <w:rPr>
          <w:sz w:val="20"/>
          <w:szCs w:val="20"/>
          <w:color w:val="auto"/>
        </w:rPr>
      </w:pPr>
      <w:r>
        <w:rPr>
          <w:rFonts w:ascii="Arial" w:cs="Arial" w:eastAsia="Arial" w:hAnsi="Arial"/>
          <w:sz w:val="17"/>
          <w:szCs w:val="17"/>
          <w:color w:val="auto"/>
        </w:rPr>
        <w:t>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44"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to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154"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Our compensation policy also provides for compensation to the members of our board of directors as follows: (i) to the external directors, if elected, in accordance with the amounts provided in the Companies Regulations (Rules Regarding the Compensation and Expenses of an External Director), 5760-2000, as amended by the Companies Regulations (Relief for Public Companies Traded in Stock Exchange Outside of Israel), 5760-2000, as such regulations may be amended from time to time, and (ii) to the non-employee directors, in accordance with the amounts determined in our compensation policy.</w:t>
      </w:r>
    </w:p>
    <w:p>
      <w:pPr>
        <w:spacing w:after="0" w:line="154" w:lineRule="exact"/>
        <w:rPr>
          <w:sz w:val="20"/>
          <w:szCs w:val="20"/>
          <w:color w:val="auto"/>
        </w:rPr>
      </w:pPr>
    </w:p>
    <w:p>
      <w:pPr>
        <w:ind w:left="320" w:right="480"/>
        <w:spacing w:after="0" w:line="430" w:lineRule="auto"/>
        <w:rPr>
          <w:sz w:val="20"/>
          <w:szCs w:val="20"/>
          <w:color w:val="auto"/>
        </w:rPr>
      </w:pPr>
      <w:r>
        <w:rPr>
          <w:rFonts w:ascii="Arial" w:cs="Arial" w:eastAsia="Arial" w:hAnsi="Arial"/>
          <w:sz w:val="18"/>
          <w:szCs w:val="18"/>
          <w:color w:val="auto"/>
        </w:rPr>
        <w:t xml:space="preserve">Our compensation policy was approved by our board of directors and shareholders and became effective upon the closing of our IPO. </w:t>
      </w:r>
      <w:r>
        <w:rPr>
          <w:rFonts w:ascii="Arial" w:cs="Arial" w:eastAsia="Arial" w:hAnsi="Arial"/>
          <w:sz w:val="18"/>
          <w:szCs w:val="18"/>
          <w:b w:val="1"/>
          <w:bCs w:val="1"/>
          <w:color w:val="auto"/>
        </w:rPr>
        <w:t>Nominating and Governance Committee</w:t>
      </w:r>
    </w:p>
    <w:p>
      <w:pPr>
        <w:ind w:right="360" w:firstLine="318"/>
        <w:spacing w:after="0" w:line="248" w:lineRule="auto"/>
        <w:rPr>
          <w:sz w:val="20"/>
          <w:szCs w:val="20"/>
          <w:color w:val="auto"/>
        </w:rPr>
      </w:pPr>
      <w:r>
        <w:rPr>
          <w:rFonts w:ascii="Arial" w:cs="Arial" w:eastAsia="Arial" w:hAnsi="Arial"/>
          <w:sz w:val="18"/>
          <w:szCs w:val="18"/>
          <w:color w:val="auto"/>
        </w:rPr>
        <w:t>Our nominating and governance committee consists of Aaron Mankovski, Eyal Kishon, and Jennifer Ceran. Aaron Mankovski serves as chairperson of the committee. Our board of directors has adopted a nominating and governance committee charter setting forth the responsibilities of the committee, which includes:</w:t>
      </w:r>
    </w:p>
    <w:p>
      <w:pPr>
        <w:spacing w:after="0" w:line="153"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164" w:lineRule="exact"/>
        <w:rPr>
          <w:rFonts w:ascii="Arial" w:cs="Arial" w:eastAsia="Arial" w:hAnsi="Arial"/>
          <w:sz w:val="18"/>
          <w:szCs w:val="18"/>
          <w:color w:val="auto"/>
        </w:rPr>
      </w:pPr>
    </w:p>
    <w:p>
      <w:pPr>
        <w:ind w:right="680" w:firstLine="324"/>
        <w:spacing w:after="0" w:line="251" w:lineRule="auto"/>
        <w:tabs>
          <w:tab w:leader="none" w:pos="6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Internal Auditor</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0" w:name="page101"/>
    <w:bookmarkEnd w:id="100"/>
    <w:p>
      <w:pPr>
        <w:ind w:right="20" w:firstLine="318"/>
        <w:spacing w:after="0" w:line="251" w:lineRule="auto"/>
        <w:rPr>
          <w:sz w:val="20"/>
          <w:szCs w:val="20"/>
          <w:color w:val="auto"/>
        </w:rPr>
      </w:pPr>
      <w:r>
        <w:rPr>
          <w:rFonts w:ascii="Arial" w:cs="Arial" w:eastAsia="Arial" w:hAnsi="Arial"/>
          <w:sz w:val="18"/>
          <w:szCs w:val="18"/>
          <w:color w:val="auto"/>
        </w:rPr>
        <w:t>As of December 31, 2021, Ms. Sharon Cohen, CPA from Brightman Almagor Zohar &amp; Co., a firm in the Deloitte Global Network, is acting as our internal auditor.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“Directors, Senior Management and Employees —Directors and Executive Officers” is an office holder under the Companies Law.</w:t>
      </w:r>
    </w:p>
    <w:p>
      <w:pPr>
        <w:spacing w:after="0" w:line="154" w:lineRule="exact"/>
        <w:rPr>
          <w:sz w:val="20"/>
          <w:szCs w:val="20"/>
          <w:color w:val="auto"/>
        </w:rPr>
      </w:pPr>
    </w:p>
    <w:p>
      <w:pPr>
        <w:ind w:right="360" w:firstLine="318"/>
        <w:spacing w:after="0" w:line="248"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53" w:lineRule="exact"/>
        <w:rPr>
          <w:sz w:val="20"/>
          <w:szCs w:val="20"/>
          <w:color w:val="auto"/>
        </w:rPr>
      </w:pPr>
    </w:p>
    <w:p>
      <w:pPr>
        <w:ind w:right="480" w:firstLine="324"/>
        <w:spacing w:after="0" w:line="251" w:lineRule="auto"/>
        <w:tabs>
          <w:tab w:leader="none" w:pos="6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on the business advisability of a given action brought for his, her or its approval or performed by virtue of his, her or its position;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164" w:lineRule="exact"/>
        <w:rPr>
          <w:sz w:val="20"/>
          <w:szCs w:val="20"/>
          <w:color w:val="auto"/>
        </w:rPr>
      </w:pPr>
    </w:p>
    <w:p>
      <w:pPr>
        <w:ind w:right="560" w:firstLine="318"/>
        <w:spacing w:after="0" w:line="251" w:lineRule="auto"/>
        <w:rPr>
          <w:sz w:val="20"/>
          <w:szCs w:val="20"/>
          <w:color w:val="auto"/>
        </w:rPr>
      </w:pPr>
      <w:r>
        <w:rPr>
          <w:rFonts w:ascii="Arial" w:cs="Arial" w:eastAsia="Arial" w:hAnsi="Arial"/>
          <w:sz w:val="18"/>
          <w:szCs w:val="18"/>
          <w:color w:val="auto"/>
        </w:rPr>
        <w:t>The duty of loyalty requires that an office holder act in good faith and in the best interests of the company, and includes, among other things, the duty to:</w:t>
      </w:r>
    </w:p>
    <w:p>
      <w:pPr>
        <w:spacing w:after="0" w:line="150" w:lineRule="exact"/>
        <w:rPr>
          <w:sz w:val="20"/>
          <w:szCs w:val="20"/>
          <w:color w:val="auto"/>
        </w:rPr>
      </w:pPr>
    </w:p>
    <w:p>
      <w:pPr>
        <w:ind w:right="300" w:firstLine="324"/>
        <w:spacing w:after="0" w:line="251" w:lineRule="auto"/>
        <w:tabs>
          <w:tab w:leader="none" w:pos="6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her or its duties in the company and his, her or its other duties or personal affairs;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164" w:lineRule="exact"/>
        <w:rPr>
          <w:rFonts w:ascii="Arial" w:cs="Arial" w:eastAsia="Arial" w:hAnsi="Arial"/>
          <w:sz w:val="18"/>
          <w:szCs w:val="18"/>
          <w:color w:val="auto"/>
        </w:rPr>
      </w:pPr>
    </w:p>
    <w:p>
      <w:pPr>
        <w:ind w:right="140" w:firstLine="324"/>
        <w:spacing w:after="0" w:line="251" w:lineRule="auto"/>
        <w:tabs>
          <w:tab w:leader="none" w:pos="6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herself or itself or others; and</w:t>
      </w:r>
    </w:p>
    <w:p>
      <w:pPr>
        <w:spacing w:after="0" w:line="150" w:lineRule="exact"/>
        <w:rPr>
          <w:rFonts w:ascii="Arial" w:cs="Arial" w:eastAsia="Arial" w:hAnsi="Arial"/>
          <w:sz w:val="18"/>
          <w:szCs w:val="18"/>
          <w:color w:val="auto"/>
        </w:rPr>
      </w:pPr>
    </w:p>
    <w:p>
      <w:pPr>
        <w:ind w:right="220" w:firstLine="324"/>
        <w:spacing w:after="0" w:line="251" w:lineRule="auto"/>
        <w:tabs>
          <w:tab w:leader="none" w:pos="6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her or its position as an office holder.</w:t>
      </w:r>
    </w:p>
    <w:p>
      <w:pPr>
        <w:spacing w:after="0" w:line="15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holder’s vote on behalf of a person for whom he or she holds a proxy even if such shareholder has no personal interest in the matter.</w:t>
      </w:r>
    </w:p>
    <w:p>
      <w:pPr>
        <w:spacing w:after="0" w:line="164" w:lineRule="exact"/>
        <w:rPr>
          <w:sz w:val="20"/>
          <w:szCs w:val="20"/>
          <w:color w:val="auto"/>
        </w:rPr>
      </w:pPr>
    </w:p>
    <w:p>
      <w:pPr>
        <w:ind w:right="200" w:firstLine="318"/>
        <w:spacing w:after="0" w:line="266" w:lineRule="auto"/>
        <w:rPr>
          <w:sz w:val="20"/>
          <w:szCs w:val="20"/>
          <w:color w:val="auto"/>
        </w:rPr>
      </w:pPr>
      <w:r>
        <w:rPr>
          <w:rFonts w:ascii="Arial" w:cs="Arial" w:eastAsia="Arial" w:hAnsi="Arial"/>
          <w:sz w:val="17"/>
          <w:szCs w:val="17"/>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40" w:lineRule="exact"/>
        <w:rPr>
          <w:sz w:val="20"/>
          <w:szCs w:val="20"/>
          <w:color w:val="auto"/>
        </w:rPr>
      </w:pPr>
    </w:p>
    <w:p>
      <w:pPr>
        <w:ind w:right="340" w:firstLine="318"/>
        <w:spacing w:after="0" w:line="280" w:lineRule="auto"/>
        <w:rPr>
          <w:sz w:val="20"/>
          <w:szCs w:val="20"/>
          <w:color w:val="auto"/>
        </w:rPr>
      </w:pPr>
      <w:r>
        <w:rPr>
          <w:rFonts w:ascii="Arial" w:cs="Arial" w:eastAsia="Arial" w:hAnsi="Arial"/>
          <w:sz w:val="17"/>
          <w:szCs w:val="17"/>
          <w:color w:val="auto"/>
        </w:rPr>
        <w:t>Our amended and restated articles of association provide that for non-extraordinary interested party transactions, the board of directors may delegate its approval, or may provide a general approval to certain types of non-extraordinary interested party transactions.</w:t>
      </w:r>
    </w:p>
    <w:p>
      <w:pPr>
        <w:spacing w:after="0" w:line="127" w:lineRule="exact"/>
        <w:rPr>
          <w:sz w:val="20"/>
          <w:szCs w:val="20"/>
          <w:color w:val="auto"/>
        </w:rPr>
      </w:pPr>
    </w:p>
    <w:p>
      <w:pPr>
        <w:jc w:val="both"/>
        <w:ind w:right="300" w:firstLine="318"/>
        <w:spacing w:after="0" w:line="248" w:lineRule="auto"/>
        <w:rPr>
          <w:sz w:val="20"/>
          <w:szCs w:val="20"/>
          <w:color w:val="auto"/>
        </w:rPr>
      </w:pPr>
      <w:r>
        <w:rPr>
          <w:rFonts w:ascii="Arial" w:cs="Arial" w:eastAsia="Arial" w:hAnsi="Arial"/>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5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58"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140" w:lineRule="exact"/>
        <w:rPr>
          <w:sz w:val="20"/>
          <w:szCs w:val="20"/>
          <w:color w:val="auto"/>
        </w:rPr>
      </w:pPr>
    </w:p>
    <w:p>
      <w:pPr>
        <w:ind w:right="600" w:firstLine="318"/>
        <w:spacing w:after="0" w:line="251" w:lineRule="auto"/>
        <w:rPr>
          <w:sz w:val="20"/>
          <w:szCs w:val="20"/>
          <w:color w:val="auto"/>
        </w:rPr>
      </w:pPr>
      <w:r>
        <w:rPr>
          <w:rFonts w:ascii="Arial" w:cs="Arial" w:eastAsia="Arial" w:hAnsi="Arial"/>
          <w:sz w:val="18"/>
          <w:szCs w:val="18"/>
          <w:color w:val="auto"/>
        </w:rPr>
        <w:t>For a description of the approvals required under Israeli law for compensation arrangements of officers and directors, see “Item 6.B. Compensation.”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186" w:lineRule="exact"/>
        <w:rPr>
          <w:sz w:val="20"/>
          <w:szCs w:val="20"/>
          <w:color w:val="auto"/>
        </w:rPr>
      </w:pPr>
    </w:p>
    <w:p>
      <w:pPr>
        <w:jc w:val="both"/>
        <w:ind w:right="220" w:firstLine="318"/>
        <w:spacing w:after="0" w:line="248"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53" w:lineRule="exact"/>
        <w:rPr>
          <w:sz w:val="20"/>
          <w:szCs w:val="20"/>
          <w:color w:val="auto"/>
        </w:rPr>
      </w:pPr>
    </w:p>
    <w:p>
      <w:pPr>
        <w:ind w:right="160" w:firstLine="324"/>
        <w:spacing w:after="0" w:line="251" w:lineRule="auto"/>
        <w:tabs>
          <w:tab w:leader="none" w:pos="6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 (in additional to the approval of our board of directors, as required pursuant to our amended and restated articles of association);</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a shareholder has a general duty to refrain from discriminating against other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102" w:name="page103"/>
    <w:bookmarkEnd w:id="102"/>
    <w:p>
      <w:pPr>
        <w:ind w:firstLine="318"/>
        <w:spacing w:after="0" w:line="247" w:lineRule="auto"/>
        <w:rPr>
          <w:sz w:val="20"/>
          <w:szCs w:val="20"/>
          <w:color w:val="auto"/>
        </w:rPr>
      </w:pPr>
      <w:r>
        <w:rPr>
          <w:rFonts w:ascii="Arial" w:cs="Arial" w:eastAsia="Arial" w:hAnsi="Arial"/>
          <w:sz w:val="18"/>
          <w:szCs w:val="18"/>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Exculpation, Insurance and Indemnification of Office Holders</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154" w:lineRule="exact"/>
        <w:rPr>
          <w:sz w:val="20"/>
          <w:szCs w:val="20"/>
          <w:color w:val="auto"/>
        </w:rPr>
      </w:pPr>
    </w:p>
    <w:p>
      <w:pPr>
        <w:ind w:right="420" w:firstLine="318"/>
        <w:spacing w:after="0" w:line="248"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53" w:lineRule="exact"/>
        <w:rPr>
          <w:sz w:val="20"/>
          <w:szCs w:val="20"/>
          <w:color w:val="auto"/>
        </w:rPr>
      </w:pPr>
    </w:p>
    <w:p>
      <w:pPr>
        <w:jc w:val="both"/>
        <w:ind w:right="80" w:firstLine="324"/>
        <w:spacing w:after="0" w:line="247" w:lineRule="auto"/>
        <w:tabs>
          <w:tab w:leader="none" w:pos="6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53" w:lineRule="exact"/>
        <w:rPr>
          <w:rFonts w:ascii="Arial" w:cs="Arial" w:eastAsia="Arial" w:hAnsi="Arial"/>
          <w:sz w:val="18"/>
          <w:szCs w:val="18"/>
          <w:color w:val="auto"/>
        </w:rPr>
      </w:pPr>
    </w:p>
    <w:p>
      <w:pPr>
        <w:ind w:right="200" w:firstLine="324"/>
        <w:spacing w:after="0" w:line="246" w:lineRule="auto"/>
        <w:tabs>
          <w:tab w:leader="none" w:pos="6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58" w:lineRule="exact"/>
        <w:rPr>
          <w:rFonts w:ascii="Arial" w:cs="Arial" w:eastAsia="Arial" w:hAnsi="Arial"/>
          <w:sz w:val="18"/>
          <w:szCs w:val="18"/>
          <w:color w:val="auto"/>
        </w:rPr>
      </w:pPr>
    </w:p>
    <w:p>
      <w:pPr>
        <w:jc w:val="both"/>
        <w:ind w:right="40" w:firstLine="324"/>
        <w:spacing w:after="0" w:line="248" w:lineRule="auto"/>
        <w:tabs>
          <w:tab w:leader="none" w:pos="6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153" w:lineRule="exact"/>
        <w:rPr>
          <w:rFonts w:ascii="Arial" w:cs="Arial" w:eastAsia="Arial" w:hAnsi="Arial"/>
          <w:sz w:val="18"/>
          <w:szCs w:val="18"/>
          <w:color w:val="auto"/>
        </w:rPr>
      </w:pPr>
    </w:p>
    <w:p>
      <w:pPr>
        <w:ind w:right="120" w:firstLine="324"/>
        <w:spacing w:after="0" w:line="248" w:lineRule="auto"/>
        <w:tabs>
          <w:tab w:leader="none" w:pos="6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spacing w:after="0" w:line="153"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50" w:lineRule="exact"/>
        <w:rPr>
          <w:sz w:val="20"/>
          <w:szCs w:val="20"/>
          <w:color w:val="auto"/>
        </w:rPr>
      </w:pPr>
    </w:p>
    <w:p>
      <w:pPr>
        <w:ind w:right="420" w:firstLine="324"/>
        <w:spacing w:after="0" w:line="251" w:lineRule="auto"/>
        <w:tabs>
          <w:tab w:leader="none" w:pos="6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third-party, including a breach arising out of the negligent conduct of the office</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3" w:name="page104"/>
    <w:bookmarkEnd w:id="103"/>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 harmed by a breach in an administrative proceeding; and</w:t>
      </w:r>
    </w:p>
    <w:p>
      <w:pPr>
        <w:spacing w:after="0" w:line="164" w:lineRule="exact"/>
        <w:rPr>
          <w:rFonts w:ascii="Arial" w:cs="Arial" w:eastAsia="Arial" w:hAnsi="Arial"/>
          <w:sz w:val="18"/>
          <w:szCs w:val="18"/>
          <w:color w:val="auto"/>
        </w:rPr>
      </w:pPr>
    </w:p>
    <w:p>
      <w:pPr>
        <w:ind w:right="740" w:firstLine="324"/>
        <w:spacing w:after="0" w:line="251" w:lineRule="auto"/>
        <w:tabs>
          <w:tab w:leader="none" w:pos="6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64" w:lineRule="exact"/>
        <w:rPr>
          <w:sz w:val="20"/>
          <w:szCs w:val="20"/>
          <w:color w:val="auto"/>
        </w:rPr>
      </w:pPr>
    </w:p>
    <w:p>
      <w:pPr>
        <w:ind w:right="140" w:firstLine="324"/>
        <w:spacing w:after="0" w:line="251" w:lineRule="auto"/>
        <w:tabs>
          <w:tab w:leader="none" w:pos="6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holder;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41"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53"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maximum indemnification amount set forth in such agreements is limited to an amount equal to the higher of $300,000,000, 25% of our total shareholders’ equity (deficit)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and 10% of our total market cap calculated based on the average closing price our Class A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 party pursuant to an indemnification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104" w:name="page105"/>
    <w:bookmarkEnd w:id="104"/>
    <w:p>
      <w:pPr>
        <w:ind w:right="180" w:firstLine="318"/>
        <w:spacing w:after="0" w:line="251"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 Employees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As of December 31, 2021, we had 768 employees worldwide, including 289 in research and development (an increase from 580 employees, including 212 in research and development, as of December 31, 2020). Of these employees, 715 are full-time employees and 53 are part-time employees. 555 of our employees are in Israel, 188 are in the United States, 12 are in Shanghai, People’s Republic of China, and 6 are in the United Kingdom. As of December 31, 2021, we also engaged the services of 7 contractors through a third-party professional employer organization in Mexico, Brazil, Italy, and Australia.</w:t>
      </w:r>
    </w:p>
    <w:p>
      <w:pPr>
        <w:spacing w:after="0" w:line="154"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With respect to our Israeli employees, Israeli labor laws govern the length of the workday and work week, minimum wages for employees, procedures for hiring and dismissing employees, determination of severance pay, annual leave, sick days, convalescence, advance notice of termination of employment, equal opportunity and anti-discrimination laws and other conditions of employment. 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or Section 14, our employees in Israel, including executive officers and other key employees based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spacing w:after="0" w:line="15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None of our employees work under any collective bargaining agreements. Extension orders issued by the Israeli Ministry of Economy and Industry apply to us and affect matters such as cost of living adjustments to salaries, length of working hours and week, recuperation pay, travel expenses and pension rights.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never experienced labor-related work stoppages or strikes and believe that our relations with our employees are satisfactory.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 Share Ownership</w:t>
      </w:r>
    </w:p>
    <w:p>
      <w:pPr>
        <w:spacing w:after="0" w:line="168" w:lineRule="exact"/>
        <w:rPr>
          <w:sz w:val="20"/>
          <w:szCs w:val="20"/>
          <w:color w:val="auto"/>
        </w:rPr>
      </w:pPr>
    </w:p>
    <w:p>
      <w:pPr>
        <w:ind w:right="60" w:firstLine="318"/>
        <w:spacing w:after="0" w:line="259" w:lineRule="auto"/>
        <w:rPr>
          <w:sz w:val="20"/>
          <w:szCs w:val="20"/>
          <w:color w:val="auto"/>
        </w:rPr>
      </w:pPr>
      <w:r>
        <w:rPr>
          <w:rFonts w:ascii="Arial" w:cs="Arial" w:eastAsia="Arial" w:hAnsi="Arial"/>
          <w:sz w:val="18"/>
          <w:szCs w:val="18"/>
          <w:color w:val="auto"/>
        </w:rPr>
        <w:t>For information regarding the share ownership of directors and officers, see Item 7.A. “</w:t>
      </w:r>
      <w:r>
        <w:rPr>
          <w:rFonts w:ascii="Arial" w:cs="Arial" w:eastAsia="Arial" w:hAnsi="Arial"/>
          <w:sz w:val="18"/>
          <w:szCs w:val="18"/>
          <w:i w:val="1"/>
          <w:iCs w:val="1"/>
          <w:color w:val="auto"/>
        </w:rPr>
        <w:t>Major Shareholders and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 Major Shareholders.</w:t>
      </w:r>
      <w:r>
        <w:rPr>
          <w:rFonts w:ascii="Arial" w:cs="Arial" w:eastAsia="Arial" w:hAnsi="Arial"/>
          <w:sz w:val="18"/>
          <w:szCs w:val="18"/>
          <w:color w:val="auto"/>
        </w:rPr>
        <w:t>” For information regarding our equity incentive plans, see Item 6.B. “</w:t>
      </w:r>
      <w:r>
        <w:rPr>
          <w:rFonts w:ascii="Arial" w:cs="Arial" w:eastAsia="Arial" w:hAnsi="Arial"/>
          <w:sz w:val="18"/>
          <w:szCs w:val="18"/>
          <w:i w:val="1"/>
          <w:iCs w:val="1"/>
          <w:color w:val="auto"/>
        </w:rPr>
        <w:t>Director, Senior Management and Employees — Compensation — Equity Incentive Plans.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64" w:lineRule="exact"/>
        <w:rPr>
          <w:sz w:val="20"/>
          <w:szCs w:val="20"/>
          <w:color w:val="auto"/>
        </w:rPr>
      </w:pPr>
    </w:p>
    <w:p>
      <w:pPr>
        <w:ind w:left="680" w:hanging="356"/>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January 31, 2022 by:</w:t>
      </w:r>
    </w:p>
    <w:p>
      <w:pPr>
        <w:spacing w:after="0" w:line="164" w:lineRule="exact"/>
        <w:rPr>
          <w:sz w:val="20"/>
          <w:szCs w:val="20"/>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outstanding shares;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46" w:lineRule="exact"/>
        <w:rPr>
          <w:sz w:val="20"/>
          <w:szCs w:val="20"/>
          <w:color w:val="auto"/>
        </w:rPr>
      </w:pPr>
    </w:p>
    <w:p>
      <w:pPr>
        <w:ind w:right="340" w:firstLine="318"/>
        <w:spacing w:after="0" w:line="272" w:lineRule="auto"/>
        <w:rPr>
          <w:sz w:val="20"/>
          <w:szCs w:val="20"/>
          <w:color w:val="auto"/>
        </w:rPr>
      </w:pPr>
      <w:r>
        <w:rPr>
          <w:rFonts w:ascii="Arial" w:cs="Arial" w:eastAsia="Arial" w:hAnsi="Arial"/>
          <w:sz w:val="18"/>
          <w:szCs w:val="18"/>
          <w:color w:val="auto"/>
        </w:rPr>
        <w:t>For further information regarding material transactions between us and our major shareholders, see Item 7.B. “</w:t>
      </w:r>
      <w:r>
        <w:rPr>
          <w:rFonts w:ascii="Arial" w:cs="Arial" w:eastAsia="Arial" w:hAnsi="Arial"/>
          <w:sz w:val="18"/>
          <w:szCs w:val="18"/>
          <w:i w:val="1"/>
          <w:iCs w:val="1"/>
          <w:color w:val="auto"/>
        </w:rPr>
        <w:t>Major Shareholders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 — Related Party Transactions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105" w:name="page106"/>
    <w:bookmarkEnd w:id="105"/>
    <w:p>
      <w:pPr>
        <w:ind w:right="200" w:firstLine="318"/>
        <w:spacing w:after="0" w:line="247" w:lineRule="auto"/>
        <w:rPr>
          <w:sz w:val="20"/>
          <w:szCs w:val="20"/>
          <w:color w:val="auto"/>
        </w:rPr>
      </w:pPr>
      <w:r>
        <w:rPr>
          <w:rFonts w:ascii="Arial" w:cs="Arial" w:eastAsia="Arial" w:hAnsi="Arial"/>
          <w:sz w:val="18"/>
          <w:szCs w:val="18"/>
          <w:color w:val="auto"/>
        </w:rPr>
        <w:t>The number of ordinary shares beneficially owned by each entity, person or director is determined in accordance with the SEC rules, and the information is not necessarily indicative of beneficial ownership for any other purpose. Under such rules, beneficial ownership includes any ordinary shares over which a person has sole or shared voting power or investment power, or the right to receive economic benefit of ownership, as well as any ordinary shares subject to options, RSUs, warrants or other rights that are currently exercisable or exercisable within 60 days of January 31, 2022.</w:t>
      </w:r>
    </w:p>
    <w:p>
      <w:pPr>
        <w:spacing w:after="0" w:line="154"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The percentage of outstanding ordinary shares is computed on the basis of 164,332,956 ordinary shares outstanding as of January 31, 2022, which is comprised of 77,888,136 Class A ordinary shares outstanding and 86,444,820 Class B ordinary shares outstanding.</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noted below, each shareholder’s address is Europe House, Sderot Sha’ul HaMelech 37, Tel Aviv-Yafo, Israel.</w:t>
      </w:r>
    </w:p>
    <w:p>
      <w:pPr>
        <w:spacing w:after="0" w:line="200" w:lineRule="exact"/>
        <w:rPr>
          <w:sz w:val="20"/>
          <w:szCs w:val="20"/>
          <w:color w:val="auto"/>
        </w:rPr>
      </w:pPr>
    </w:p>
    <w:p>
      <w:pPr>
        <w:spacing w:after="0" w:line="36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80" w:type="dxa"/>
            <w:vAlign w:val="bottom"/>
            <w:tcBorders>
              <w:bottom w:val="single" w:sz="8" w:color="auto"/>
            </w:tcBorders>
            <w:gridSpan w:val="3"/>
            <w:shd w:val="clear" w:color="auto" w:fill="CCEEFF"/>
          </w:tcPr>
          <w:p>
            <w:pPr>
              <w:jc w:val="right"/>
              <w:ind w:right="301"/>
              <w:spacing w:after="0"/>
              <w:rPr>
                <w:sz w:val="20"/>
                <w:szCs w:val="20"/>
                <w:color w:val="auto"/>
              </w:rPr>
            </w:pPr>
            <w:r>
              <w:rPr>
                <w:rFonts w:ascii="Arial" w:cs="Arial" w:eastAsia="Arial" w:hAnsi="Arial"/>
                <w:sz w:val="14"/>
                <w:szCs w:val="14"/>
                <w:b w:val="1"/>
                <w:bCs w:val="1"/>
                <w:color w:val="auto"/>
              </w:rPr>
              <w:t>Class A Ordinary Shares</w:t>
            </w:r>
          </w:p>
        </w:tc>
        <w:tc>
          <w:tcPr>
            <w:tcW w:w="3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tcBorders>
              <w:bottom w:val="single" w:sz="8" w:color="auto"/>
            </w:tcBorders>
            <w:gridSpan w:val="3"/>
            <w:shd w:val="clear" w:color="auto" w:fill="CCEEFF"/>
          </w:tcPr>
          <w:p>
            <w:pPr>
              <w:jc w:val="right"/>
              <w:ind w:right="161"/>
              <w:spacing w:after="0"/>
              <w:rPr>
                <w:sz w:val="20"/>
                <w:szCs w:val="20"/>
                <w:color w:val="auto"/>
              </w:rPr>
            </w:pPr>
            <w:r>
              <w:rPr>
                <w:rFonts w:ascii="Arial" w:cs="Arial" w:eastAsia="Arial" w:hAnsi="Arial"/>
                <w:sz w:val="14"/>
                <w:szCs w:val="14"/>
                <w:b w:val="1"/>
                <w:bCs w:val="1"/>
                <w:color w:val="auto"/>
              </w:rPr>
              <w:t xml:space="preserve">Class B Ordinary Shares </w:t>
            </w:r>
            <w:r>
              <w:rPr>
                <w:rFonts w:ascii="Arial" w:cs="Arial" w:eastAsia="Arial" w:hAnsi="Arial"/>
                <w:sz w:val="18"/>
                <w:szCs w:val="18"/>
                <w:b w:val="1"/>
                <w:bCs w:val="1"/>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6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Name of Beneficial Owner</w:t>
            </w:r>
          </w:p>
        </w:tc>
        <w:tc>
          <w:tcPr>
            <w:tcW w:w="16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Number</w:t>
            </w:r>
          </w:p>
        </w:tc>
        <w:tc>
          <w:tcPr>
            <w:tcW w:w="14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Number</w:t>
            </w:r>
          </w:p>
        </w:tc>
        <w:tc>
          <w:tcPr>
            <w:tcW w:w="13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Combined Votin</w:t>
            </w:r>
          </w:p>
        </w:tc>
        <w:tc>
          <w:tcPr>
            <w:tcW w:w="0" w:type="dxa"/>
            <w:vAlign w:val="bottom"/>
          </w:tcPr>
          <w:p>
            <w:pPr>
              <w:spacing w:after="0"/>
              <w:rPr>
                <w:sz w:val="1"/>
                <w:szCs w:val="1"/>
                <w:color w:val="auto"/>
              </w:rPr>
            </w:pPr>
          </w:p>
        </w:tc>
      </w:tr>
      <w:tr>
        <w:trPr>
          <w:trHeight w:val="172"/>
        </w:trPr>
        <w:tc>
          <w:tcPr>
            <w:tcW w:w="264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322"/>
              <w:spacing w:after="0" w:line="172" w:lineRule="exact"/>
              <w:rPr>
                <w:sz w:val="20"/>
                <w:szCs w:val="20"/>
                <w:color w:val="auto"/>
              </w:rPr>
            </w:pPr>
            <w:r>
              <w:rPr>
                <w:rFonts w:ascii="Arial" w:cs="Arial" w:eastAsia="Arial" w:hAnsi="Arial"/>
                <w:sz w:val="14"/>
                <w:szCs w:val="14"/>
                <w:b w:val="1"/>
                <w:bCs w:val="1"/>
                <w:color w:val="auto"/>
              </w:rPr>
              <w:t xml:space="preserve">Power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92"/>
        </w:trPr>
        <w:tc>
          <w:tcPr>
            <w:tcW w:w="26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i w:val="1"/>
                <w:iCs w:val="1"/>
                <w:color w:val="auto"/>
              </w:rPr>
              <w:t>Principal Shareholders</w:t>
            </w: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Genesis Partners </w:t>
            </w:r>
            <w:r>
              <w:rPr>
                <w:rFonts w:ascii="Arial" w:cs="Arial" w:eastAsia="Arial" w:hAnsi="Arial"/>
                <w:sz w:val="20"/>
                <w:szCs w:val="20"/>
                <w:color w:val="auto"/>
                <w:vertAlign w:val="superscript"/>
              </w:rPr>
              <w:t>(3)</w:t>
            </w:r>
          </w:p>
        </w:tc>
        <w:tc>
          <w:tcPr>
            <w:tcW w:w="1520" w:type="dxa"/>
            <w:vAlign w:val="bottom"/>
          </w:tcPr>
          <w:p>
            <w:pPr>
              <w:jc w:val="right"/>
              <w:spacing w:after="0"/>
              <w:rPr>
                <w:sz w:val="20"/>
                <w:szCs w:val="20"/>
                <w:color w:val="auto"/>
              </w:rPr>
            </w:pPr>
            <w:r>
              <w:rPr>
                <w:rFonts w:ascii="Arial" w:cs="Arial" w:eastAsia="Arial" w:hAnsi="Arial"/>
                <w:sz w:val="16"/>
                <w:szCs w:val="16"/>
                <w:color w:val="auto"/>
              </w:rPr>
              <w:t>10,279,312</w:t>
            </w:r>
          </w:p>
        </w:tc>
        <w:tc>
          <w:tcPr>
            <w:tcW w:w="1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13.2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20,558,625</w:t>
            </w:r>
          </w:p>
        </w:tc>
        <w:tc>
          <w:tcPr>
            <w:tcW w:w="100" w:type="dxa"/>
            <w:vAlign w:val="bottom"/>
          </w:tcPr>
          <w:p>
            <w:pPr>
              <w:spacing w:after="0"/>
              <w:rPr>
                <w:sz w:val="18"/>
                <w:szCs w:val="18"/>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23.8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0" w:type="dxa"/>
            <w:vAlign w:val="bottom"/>
          </w:tcPr>
          <w:p>
            <w:pPr>
              <w:jc w:val="right"/>
              <w:ind w:right="222"/>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General Atlantic RK B.V. </w:t>
            </w:r>
            <w:r>
              <w:rPr>
                <w:rFonts w:ascii="Arial" w:cs="Arial" w:eastAsia="Arial" w:hAnsi="Arial"/>
                <w:sz w:val="20"/>
                <w:szCs w:val="20"/>
                <w:color w:val="auto"/>
                <w:vertAlign w:val="superscript"/>
              </w:rPr>
              <w:t>(4)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5,324,998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10,649,996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12.3</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Qumra Capital </w:t>
            </w:r>
            <w:r>
              <w:rPr>
                <w:rFonts w:ascii="Arial" w:cs="Arial" w:eastAsia="Arial" w:hAnsi="Arial"/>
                <w:sz w:val="20"/>
                <w:szCs w:val="20"/>
                <w:color w:val="auto"/>
                <w:vertAlign w:val="superscript"/>
              </w:rPr>
              <w:t>(5)</w:t>
            </w:r>
          </w:p>
        </w:tc>
        <w:tc>
          <w:tcPr>
            <w:tcW w:w="1520" w:type="dxa"/>
            <w:vAlign w:val="bottom"/>
          </w:tcPr>
          <w:p>
            <w:pPr>
              <w:jc w:val="right"/>
              <w:spacing w:after="0"/>
              <w:rPr>
                <w:sz w:val="20"/>
                <w:szCs w:val="20"/>
                <w:color w:val="auto"/>
              </w:rPr>
            </w:pPr>
            <w:r>
              <w:rPr>
                <w:rFonts w:ascii="Arial" w:cs="Arial" w:eastAsia="Arial" w:hAnsi="Arial"/>
                <w:sz w:val="16"/>
                <w:szCs w:val="16"/>
                <w:color w:val="auto"/>
              </w:rPr>
              <w:t>3,429,987</w:t>
            </w:r>
          </w:p>
        </w:tc>
        <w:tc>
          <w:tcPr>
            <w:tcW w:w="1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4.4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6,859,974</w:t>
            </w:r>
          </w:p>
        </w:tc>
        <w:tc>
          <w:tcPr>
            <w:tcW w:w="100" w:type="dxa"/>
            <w:vAlign w:val="bottom"/>
          </w:tcPr>
          <w:p>
            <w:pPr>
              <w:spacing w:after="0"/>
              <w:rPr>
                <w:sz w:val="18"/>
                <w:szCs w:val="18"/>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7.9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0" w:type="dxa"/>
            <w:vAlign w:val="bottom"/>
          </w:tcPr>
          <w:p>
            <w:pPr>
              <w:jc w:val="right"/>
              <w:ind w:right="222"/>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Pitango Venture Capital </w:t>
            </w:r>
            <w:r>
              <w:rPr>
                <w:rFonts w:ascii="Arial" w:cs="Arial" w:eastAsia="Arial" w:hAnsi="Arial"/>
                <w:sz w:val="20"/>
                <w:szCs w:val="20"/>
                <w:color w:val="auto"/>
                <w:vertAlign w:val="superscript"/>
              </w:rPr>
              <w:t>(6)</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3,081,912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6,163,824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FMR LLC </w:t>
            </w:r>
            <w:r>
              <w:rPr>
                <w:rFonts w:ascii="Arial" w:cs="Arial" w:eastAsia="Arial" w:hAnsi="Arial"/>
                <w:sz w:val="20"/>
                <w:szCs w:val="20"/>
                <w:color w:val="auto"/>
                <w:vertAlign w:val="superscript"/>
              </w:rPr>
              <w:t>(7)</w:t>
            </w:r>
          </w:p>
        </w:tc>
        <w:tc>
          <w:tcPr>
            <w:tcW w:w="1520" w:type="dxa"/>
            <w:vAlign w:val="bottom"/>
          </w:tcPr>
          <w:p>
            <w:pPr>
              <w:jc w:val="right"/>
              <w:spacing w:after="0"/>
              <w:rPr>
                <w:sz w:val="20"/>
                <w:szCs w:val="20"/>
                <w:color w:val="auto"/>
              </w:rPr>
            </w:pPr>
            <w:r>
              <w:rPr>
                <w:rFonts w:ascii="Arial" w:cs="Arial" w:eastAsia="Arial" w:hAnsi="Arial"/>
                <w:sz w:val="16"/>
                <w:szCs w:val="16"/>
                <w:color w:val="auto"/>
              </w:rPr>
              <w:t>3,688,962</w:t>
            </w:r>
          </w:p>
        </w:tc>
        <w:tc>
          <w:tcPr>
            <w:tcW w:w="1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4.7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5,547,166</w:t>
            </w:r>
          </w:p>
        </w:tc>
        <w:tc>
          <w:tcPr>
            <w:tcW w:w="100" w:type="dxa"/>
            <w:vAlign w:val="bottom"/>
          </w:tcPr>
          <w:p>
            <w:pPr>
              <w:spacing w:after="0"/>
              <w:rPr>
                <w:sz w:val="18"/>
                <w:szCs w:val="18"/>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0" w:type="dxa"/>
            <w:vAlign w:val="bottom"/>
          </w:tcPr>
          <w:p>
            <w:pPr>
              <w:jc w:val="right"/>
              <w:ind w:right="22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The Phoenix Holdings Ltd. </w:t>
            </w:r>
            <w:r>
              <w:rPr>
                <w:rFonts w:ascii="Arial" w:cs="Arial" w:eastAsia="Arial" w:hAnsi="Arial"/>
                <w:sz w:val="20"/>
                <w:szCs w:val="20"/>
                <w:color w:val="auto"/>
                <w:vertAlign w:val="superscript"/>
              </w:rPr>
              <w:t>(8)</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2,404,727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4,390,524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59"/>
        </w:trPr>
        <w:tc>
          <w:tcPr>
            <w:tcW w:w="2640" w:type="dxa"/>
            <w:vAlign w:val="bottom"/>
            <w:gridSpan w:val="2"/>
          </w:tcPr>
          <w:p>
            <w:pPr>
              <w:ind w:left="340"/>
              <w:spacing w:after="0" w:line="159" w:lineRule="exact"/>
              <w:rPr>
                <w:sz w:val="20"/>
                <w:szCs w:val="20"/>
                <w:color w:val="auto"/>
              </w:rPr>
            </w:pPr>
            <w:r>
              <w:rPr>
                <w:rFonts w:ascii="Arial" w:cs="Arial" w:eastAsia="Arial" w:hAnsi="Arial"/>
                <w:sz w:val="16"/>
                <w:szCs w:val="16"/>
                <w:b w:val="1"/>
                <w:bCs w:val="1"/>
                <w:i w:val="1"/>
                <w:iCs w:val="1"/>
                <w:color w:val="auto"/>
              </w:rPr>
              <w:t>Directors and Executive</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Officers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gridSpan w:val="2"/>
            <w:shd w:val="clear" w:color="auto" w:fill="CCEEFF"/>
          </w:tcPr>
          <w:p>
            <w:pPr>
              <w:ind w:left="340"/>
              <w:spacing w:after="0" w:line="213" w:lineRule="exact"/>
              <w:rPr>
                <w:sz w:val="20"/>
                <w:szCs w:val="20"/>
                <w:color w:val="auto"/>
              </w:rPr>
            </w:pPr>
            <w:r>
              <w:rPr>
                <w:rFonts w:ascii="Arial" w:cs="Arial" w:eastAsia="Arial" w:hAnsi="Arial"/>
                <w:sz w:val="16"/>
                <w:szCs w:val="16"/>
                <w:color w:val="auto"/>
              </w:rPr>
              <w:t xml:space="preserve">Eido Gal </w:t>
            </w:r>
            <w:r>
              <w:rPr>
                <w:rFonts w:ascii="Arial" w:cs="Arial" w:eastAsia="Arial" w:hAnsi="Arial"/>
                <w:sz w:val="20"/>
                <w:szCs w:val="20"/>
                <w:color w:val="auto"/>
                <w:vertAlign w:val="superscript"/>
              </w:rPr>
              <w:t>(9)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4,556,650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9,113,300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Assaf Feldman </w:t>
            </w:r>
            <w:r>
              <w:rPr>
                <w:rFonts w:ascii="Arial" w:cs="Arial" w:eastAsia="Arial" w:hAnsi="Arial"/>
                <w:sz w:val="20"/>
                <w:szCs w:val="20"/>
                <w:color w:val="auto"/>
                <w:vertAlign w:val="superscript"/>
              </w:rPr>
              <w:t>(10)</w:t>
            </w:r>
          </w:p>
        </w:tc>
        <w:tc>
          <w:tcPr>
            <w:tcW w:w="1520" w:type="dxa"/>
            <w:vAlign w:val="bottom"/>
          </w:tcPr>
          <w:p>
            <w:pPr>
              <w:jc w:val="right"/>
              <w:spacing w:after="0"/>
              <w:rPr>
                <w:sz w:val="20"/>
                <w:szCs w:val="20"/>
                <w:color w:val="auto"/>
              </w:rPr>
            </w:pPr>
            <w:r>
              <w:rPr>
                <w:rFonts w:ascii="Arial" w:cs="Arial" w:eastAsia="Arial" w:hAnsi="Arial"/>
                <w:sz w:val="16"/>
                <w:szCs w:val="16"/>
                <w:color w:val="auto"/>
              </w:rPr>
              <w:t>4,356,650</w:t>
            </w:r>
          </w:p>
        </w:tc>
        <w:tc>
          <w:tcPr>
            <w:tcW w:w="1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5.6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9,113,300</w:t>
            </w:r>
          </w:p>
        </w:tc>
        <w:tc>
          <w:tcPr>
            <w:tcW w:w="100" w:type="dxa"/>
            <w:vAlign w:val="bottom"/>
          </w:tcPr>
          <w:p>
            <w:pPr>
              <w:spacing w:after="0"/>
              <w:rPr>
                <w:sz w:val="18"/>
                <w:szCs w:val="18"/>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10.5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0" w:type="dxa"/>
            <w:vAlign w:val="bottom"/>
          </w:tcPr>
          <w:p>
            <w:pPr>
              <w:jc w:val="right"/>
              <w:ind w:right="222"/>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Erez Shachar </w:t>
            </w:r>
            <w:r>
              <w:rPr>
                <w:rFonts w:ascii="Arial" w:cs="Arial" w:eastAsia="Arial" w:hAnsi="Arial"/>
                <w:sz w:val="20"/>
                <w:szCs w:val="20"/>
                <w:color w:val="auto"/>
                <w:vertAlign w:val="superscript"/>
              </w:rPr>
              <w:t>(11)</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Eyal Kishon </w:t>
            </w:r>
            <w:r>
              <w:rPr>
                <w:rFonts w:ascii="Arial" w:cs="Arial" w:eastAsia="Arial" w:hAnsi="Arial"/>
                <w:sz w:val="20"/>
                <w:szCs w:val="20"/>
                <w:color w:val="auto"/>
                <w:vertAlign w:val="superscript"/>
              </w:rPr>
              <w:t>(12)</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Aaron Mankovski </w:t>
            </w:r>
            <w:r>
              <w:rPr>
                <w:rFonts w:ascii="Arial" w:cs="Arial" w:eastAsia="Arial" w:hAnsi="Arial"/>
                <w:sz w:val="20"/>
                <w:szCs w:val="20"/>
                <w:color w:val="auto"/>
                <w:vertAlign w:val="superscript"/>
              </w:rPr>
              <w:t>(13)</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Tanzeen Syed </w:t>
            </w:r>
            <w:r>
              <w:rPr>
                <w:rFonts w:ascii="Arial" w:cs="Arial" w:eastAsia="Arial" w:hAnsi="Arial"/>
                <w:sz w:val="20"/>
                <w:szCs w:val="20"/>
                <w:color w:val="auto"/>
                <w:vertAlign w:val="superscript"/>
              </w:rPr>
              <w:t>(14)</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Jennifer Ceran </w:t>
            </w:r>
            <w:r>
              <w:rPr>
                <w:rFonts w:ascii="Arial" w:cs="Arial" w:eastAsia="Arial" w:hAnsi="Arial"/>
                <w:sz w:val="20"/>
                <w:szCs w:val="20"/>
                <w:color w:val="auto"/>
                <w:vertAlign w:val="superscript"/>
              </w:rPr>
              <w:t>(15)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Aglika Dotcheva </w:t>
            </w:r>
            <w:r>
              <w:rPr>
                <w:rFonts w:ascii="Arial" w:cs="Arial" w:eastAsia="Arial" w:hAnsi="Arial"/>
                <w:sz w:val="20"/>
                <w:szCs w:val="20"/>
                <w:color w:val="auto"/>
                <w:vertAlign w:val="superscript"/>
              </w:rPr>
              <w:t>(16)</w:t>
            </w:r>
          </w:p>
        </w:tc>
        <w:tc>
          <w:tcPr>
            <w:tcW w:w="1520" w:type="dxa"/>
            <w:vAlign w:val="bottom"/>
          </w:tcPr>
          <w:p>
            <w:pPr>
              <w:jc w:val="right"/>
              <w:spacing w:after="0"/>
              <w:rPr>
                <w:sz w:val="20"/>
                <w:szCs w:val="20"/>
                <w:color w:val="auto"/>
              </w:rPr>
            </w:pPr>
            <w:r>
              <w:rPr>
                <w:rFonts w:ascii="Arial" w:cs="Arial" w:eastAsia="Arial" w:hAnsi="Arial"/>
                <w:sz w:val="16"/>
                <w:szCs w:val="16"/>
                <w:color w:val="auto"/>
              </w:rPr>
              <w:t>803,555</w:t>
            </w:r>
          </w:p>
        </w:tc>
        <w:tc>
          <w:tcPr>
            <w:tcW w:w="1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Naama Ofek Arad </w:t>
            </w:r>
            <w:r>
              <w:rPr>
                <w:rFonts w:ascii="Arial" w:cs="Arial" w:eastAsia="Arial" w:hAnsi="Arial"/>
                <w:sz w:val="20"/>
                <w:szCs w:val="20"/>
                <w:color w:val="auto"/>
                <w:vertAlign w:val="superscript"/>
              </w:rPr>
              <w:t>(17)</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420,560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tcPr>
          <w:p>
            <w:pPr>
              <w:ind w:left="340"/>
              <w:spacing w:after="0" w:line="212" w:lineRule="exact"/>
              <w:rPr>
                <w:sz w:val="20"/>
                <w:szCs w:val="20"/>
                <w:color w:val="auto"/>
              </w:rPr>
            </w:pPr>
            <w:r>
              <w:rPr>
                <w:rFonts w:ascii="Arial" w:cs="Arial" w:eastAsia="Arial" w:hAnsi="Arial"/>
                <w:sz w:val="16"/>
                <w:szCs w:val="16"/>
                <w:color w:val="auto"/>
              </w:rPr>
              <w:t xml:space="preserve">Peter Elmgren </w:t>
            </w:r>
            <w:r>
              <w:rPr>
                <w:rFonts w:ascii="Arial" w:cs="Arial" w:eastAsia="Arial" w:hAnsi="Arial"/>
                <w:sz w:val="20"/>
                <w:szCs w:val="20"/>
                <w:color w:val="auto"/>
                <w:vertAlign w:val="superscript"/>
              </w:rPr>
              <w:t>(18)</w:t>
            </w:r>
          </w:p>
        </w:tc>
        <w:tc>
          <w:tcPr>
            <w:tcW w:w="1520" w:type="dxa"/>
            <w:vAlign w:val="bottom"/>
          </w:tcPr>
          <w:p>
            <w:pPr>
              <w:jc w:val="right"/>
              <w:spacing w:after="0"/>
              <w:rPr>
                <w:sz w:val="20"/>
                <w:szCs w:val="20"/>
                <w:color w:val="auto"/>
              </w:rPr>
            </w:pPr>
            <w:r>
              <w:rPr>
                <w:rFonts w:ascii="Arial" w:cs="Arial" w:eastAsia="Arial" w:hAnsi="Arial"/>
                <w:sz w:val="16"/>
                <w:szCs w:val="16"/>
                <w:color w:val="auto"/>
              </w:rPr>
              <w:t>156,273</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640" w:type="dxa"/>
            <w:vAlign w:val="bottom"/>
            <w:gridSpan w:val="2"/>
            <w:shd w:val="clear" w:color="auto" w:fill="CCEEFF"/>
          </w:tcPr>
          <w:p>
            <w:pPr>
              <w:ind w:left="340"/>
              <w:spacing w:after="0" w:line="175" w:lineRule="exact"/>
              <w:rPr>
                <w:sz w:val="20"/>
                <w:szCs w:val="20"/>
                <w:color w:val="auto"/>
              </w:rPr>
            </w:pPr>
            <w:r>
              <w:rPr>
                <w:rFonts w:ascii="Arial" w:cs="Arial" w:eastAsia="Arial" w:hAnsi="Arial"/>
                <w:sz w:val="16"/>
                <w:szCs w:val="16"/>
                <w:color w:val="auto"/>
              </w:rPr>
              <w:t>All executive officers and</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6"/>
                <w:szCs w:val="16"/>
                <w:color w:val="auto"/>
              </w:rPr>
              <w:t>directors as a group (10 persons)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10,300,188</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13.2</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18,226,600</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21.1</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43"/>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2"/>
                <w:szCs w:val="12"/>
                <w:color w:val="auto"/>
              </w:rPr>
            </w:pPr>
          </w:p>
        </w:tc>
        <w:tc>
          <w:tcPr>
            <w:tcW w:w="15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tcBorders>
              <w:bottom w:val="single" w:sz="8" w:color="auto"/>
            </w:tcBorders>
            <w:vMerge w:val="continue"/>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vMerge w:val="continue"/>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420" w:hanging="760"/>
        <w:spacing w:after="0"/>
        <w:tabs>
          <w:tab w:leader="none" w:pos="14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Indicates beneficial ownership of less than 1%.</w:t>
      </w:r>
    </w:p>
    <w:p>
      <w:pPr>
        <w:spacing w:after="0" w:line="34" w:lineRule="exact"/>
        <w:rPr>
          <w:sz w:val="20"/>
          <w:szCs w:val="20"/>
          <w:color w:val="auto"/>
        </w:rPr>
      </w:pPr>
    </w:p>
    <w:p>
      <w:pPr>
        <w:jc w:val="both"/>
        <w:ind w:left="1120" w:hanging="460"/>
        <w:spacing w:after="0" w:line="224" w:lineRule="auto"/>
        <w:tabs>
          <w:tab w:leader="none" w:pos="1438"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Class B ordinary shares are convertible into Class A ordinary shares on a one-for-one basis, subject to customary conversion rate adjustments for share splits, share dividends a reclassifications. Beneficial ownership of Class B ordinary shares reflected in this table has not also been reflected as beneficial ownership of Class A ordinary shares for which such Class ordinary shares may be converted.</w:t>
      </w:r>
    </w:p>
    <w:p>
      <w:pPr>
        <w:spacing w:after="0" w:line="24" w:lineRule="exact"/>
        <w:rPr>
          <w:rFonts w:ascii="Arial" w:cs="Arial" w:eastAsia="Arial" w:hAnsi="Arial"/>
          <w:sz w:val="12"/>
          <w:szCs w:val="12"/>
          <w:color w:val="auto"/>
        </w:rPr>
      </w:pPr>
    </w:p>
    <w:p>
      <w:pPr>
        <w:ind w:left="1120" w:hanging="460"/>
        <w:spacing w:after="0" w:line="232" w:lineRule="auto"/>
        <w:tabs>
          <w:tab w:leader="none" w:pos="1438"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percentage represented under "Combined Voting Power" represents the voting power with respect to all of our Class A and Class B ordinary shares outstanding as of January 31 2021, voting as a single class. Holders of our Class A ordinary shares are entitled to one vote per share, and holders of our Class B ordinary shares are entitled to ten votes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11" w:right="239" w:bottom="1440" w:gutter="0" w:footer="0" w:header="0"/>
        </w:sectPr>
      </w:pPr>
    </w:p>
    <w:bookmarkStart w:id="106" w:name="page107"/>
    <w:bookmarkEnd w:id="106"/>
    <w:p>
      <w:pPr>
        <w:spacing w:after="0" w:line="6" w:lineRule="exact"/>
        <w:rPr>
          <w:sz w:val="20"/>
          <w:szCs w:val="20"/>
          <w:color w:val="auto"/>
        </w:rPr>
      </w:pPr>
    </w:p>
    <w:p>
      <w:pPr>
        <w:jc w:val="both"/>
        <w:ind w:left="460" w:hanging="460"/>
        <w:spacing w:after="0" w:line="213" w:lineRule="auto"/>
        <w:tabs>
          <w:tab w:leader="none" w:pos="77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information reported on a Schedule 13G on February 9, 2022, Genesis Partners IV L.P. ("Genesis IV") has sole voting power and sole dispositive power over 28,695,225 Cl A ordinary shares, which consists of (i) 9,565,075 Class A ordinary shares; and (ii) an additional 19,130,150 Class A ordinary shares issuable upon conversion, on a one-for-one basis, of a equivalent number of Class B ordinary shares held by Genesis IV. G.P.R. S.P.V 2 ("GPR") has sole voting power and sole dispositive power over 2,142,711 Class A ordinary shares, which consists of (i) 714,237 Class A ordinary shares; and (ii) an additional 1,428,475 Class A ordinary shares issuable upon conversion, on a one-for-one basis, of an equivalent number of Clas ordinary shares that are held by GPR. Genesis Partners IV Management ("Genesis Management") has shared voting power and shared dispositive power over all 30,837,936 Class A ordin shares held by Genesis IV and GPR by virtue of its principals affiliation with GPR and by being the general partner of Genesis IV. Eyal Kishon has shared voting power and shared dispositi power over all 30,837,936 Class A ordinary shares held by Genesis IV and GPR by virtue of serving as the managing partner of Genesis Management. The business address of Genesis IV GPR, Genesis Management and Eyal Kishon is 13 Basel Street, Herzliya, 4666013, Israel.</w:t>
      </w:r>
    </w:p>
    <w:p>
      <w:pPr>
        <w:spacing w:after="0" w:line="27" w:lineRule="exact"/>
        <w:rPr>
          <w:rFonts w:ascii="Arial" w:cs="Arial" w:eastAsia="Arial" w:hAnsi="Arial"/>
          <w:sz w:val="12"/>
          <w:szCs w:val="12"/>
          <w:color w:val="auto"/>
        </w:rPr>
      </w:pPr>
    </w:p>
    <w:p>
      <w:pPr>
        <w:ind w:left="460" w:hanging="460"/>
        <w:spacing w:after="0" w:line="210" w:lineRule="auto"/>
        <w:tabs>
          <w:tab w:leader="none" w:pos="77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information reported on a Schedule 13G on February 11, 2022, General Atlantic RK B.V. ("GA RK") has shared voting and dispositive power over 15,974,994 Class A ordin shares, which consists of 5,324,998 Class A ordinary shares and 10,649,996 Class A ordinary shares issuable upon conversion, on a one-for-one basis, of an equivalent number of Class ordinary shares held by GA RK. GA RK is a wholly owned subsidiary of General Atlantic Coöperatief U.A. ("GA Coop UA"). General Atlantic Partners (Bermuda) IV, L.P ("GAP Bermuda IV" General Atlantic Partners (Bermuda) EU, L.P. ("GAP Bermuda EU") and General Atlantic Coöperatief, L.P. ("GA Coop LP") (together, the "GA Funds") and GAP Coinvestments III, LLC ("GAPCO III"), GAP Coinvestments IV, LLC ("GAPCO IV"), GAP Coinvestments V, LLC ("GAPCO V") and GAP Coinvestments CDA, L.P. ("GAPCO CDA") (together, the "Sponsor Coinvestment Funds") share beneficial ownership of the shares held of record by GA RK. General Atlantic, L.P. ("GA LP") which is controlled by the Management Committee of GASC MGP LLC (the "GA Management Committee"), is the managing member of GAPCO III, GAPCO IV and GAPCO V and the general partner of GAPCO CDA. The members that share beneficial ownership of the shares held by GA RK through GA Coop UA are the following GA Funds: GAP Bermuda IV, GAP Bermuda EU and GA Coop LP. The general partner of GAP Bermuda IV and GAP Bermuda EU is General Atlantic GenPar (Bermuda), L.P. ("Genpar Bermuda"). GAP (Bermuda) L.P. ("GAP Bermuda LP"), which is also controlled by the GA Management Committee, is the general partner of Genpar Bermuda and GA Coop LP. The members of the GA Management Committee are William E. Ford, Gabriel Caillaux, Andrew Crawford, Martin Escobari, Anton Levy, Sandeep Naik, E. Graves Tompkins, N. Robbert Vorhoff and Eric Zhang. The business address of GAP Bermuda IV, GAP Bermuda EU, GenPar Bermuda, and GAP (Bermuda) LP is Clarendon House, 2 Church Street, Hamilton HM 11, Bermuda. The address of GA Coop UA is Stadhouderskade 5 H, 1054ES, Amsterdam, The Netherlands. The addres GA LP and each of the Sponsor Coinvestment Funds is c/o General Atlantic Service Company, L.P., 55 East 52nd Street, 33rd Floor, New York, NY 10055. Each of the members of the GA Management Committee disclaims ownership of the Class A ordinary shares set forth above, except to the extent that he has a pecuniary interest therein.</w:t>
      </w:r>
    </w:p>
    <w:p>
      <w:pPr>
        <w:spacing w:after="0" w:line="32" w:lineRule="exact"/>
        <w:rPr>
          <w:rFonts w:ascii="Arial" w:cs="Arial" w:eastAsia="Arial" w:hAnsi="Arial"/>
          <w:sz w:val="12"/>
          <w:szCs w:val="12"/>
          <w:color w:val="auto"/>
        </w:rPr>
      </w:pPr>
    </w:p>
    <w:p>
      <w:pPr>
        <w:ind w:left="460" w:hanging="460"/>
        <w:spacing w:after="0" w:line="211" w:lineRule="auto"/>
        <w:tabs>
          <w:tab w:leader="none" w:pos="77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information reported on a Schedule 13G on February 14, 2022, Qumra Capital I, L.P ("Qumra Capital LP") has sole voting and dispositive power over 6,431,211 Class A ordinary shares, which consists of (i) 2,143,737 Class A ordinary shares; and (ii) an additional 4,287,474 Class A ordinary shares issuable upon conversion, on a one-for-one basis, of an equivalent number of Class B ordinary shares, held by Qumra Capital LP. Qumra Capital I Continuation Fund, L.P. ("Qumra Continuation LP") has sole voting and dispositive power over 3,858,750 Class A ordinary shares, which consists of (i) 1,286,250 Class A ordinary shares; and (ii) an additional 2,572,500 Class A ordinary shares issuable upon conversion, on a one-for one basis, of an equivalent number of Class B ordinary shares, held by Qumra Continuation LP. Qumra Capital GP I, L.P. ("Qumra Capital GP"), Qumra Capital Israel I Ltd. ("Qumra Capita GP GP"), Erez Shachar ("Erez Shachar") and Boaz Dinte ("Boaz Dinte") each share voting and dispositive power over 10,289,961 Class A ordinary shares, which consists of (i) 3,429,987 Class A ordinary shares; and (ii) an additional 6,859,974 Class A ordinary shares issuable upon conversion, on a one-for-one basis, of an equivalent number of Class B ordinary shares, he by Qumra Capital LP and Qumra Continuation LP. Qumra Capital Serves as the general partner for each of Qumra Capital LP and Qumra Continuation LP. Qumra Capital GP GP serves a the general partner for Qumra Capital GP. Erez Shachar and Boaz Dinte each hold indirectly 50% of the outstanding equity interests of Qumra Capital GP GP and, therefore, possess ultim shares voting and investment authority with respect to all Class A ordinary shares beneficially owned by the Qumra entities. The business address of each Qumra entity is c/o Qumra Capit 4 Haneviim St., Tel-Aviv, Israel.</w:t>
      </w:r>
    </w:p>
    <w:p>
      <w:pPr>
        <w:spacing w:after="0" w:line="30" w:lineRule="exact"/>
        <w:rPr>
          <w:rFonts w:ascii="Arial" w:cs="Arial" w:eastAsia="Arial" w:hAnsi="Arial"/>
          <w:sz w:val="12"/>
          <w:szCs w:val="12"/>
          <w:color w:val="auto"/>
        </w:rPr>
      </w:pPr>
    </w:p>
    <w:p>
      <w:pPr>
        <w:ind w:left="460" w:hanging="460"/>
        <w:spacing w:after="0" w:line="207" w:lineRule="auto"/>
        <w:tabs>
          <w:tab w:leader="none" w:pos="77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information reported on a Schedule 13G on February 14, 2022, Pitango Growth Fund I, L.P. has sole voting and dispositive power over 9,063,825 Class A ordinary shares, which consists of (i) 3,021,275 Class A ordinary shares; and (ii) an additional 6,042,550 Class A ordinary shares issuable upon conversion, on a one-for-one basis, of an equivalent numbe Class B ordinary shares, held by Pitango Growth Fund I, L.P. Pitango Growth Principals Fund I, L.P. has sole voting and dispositive power over 181,911 Class A ordinary shares, which consists of (i) 60,637 Class A ordinary shares and (ii) an additional 121,274 Class A ordinary shares issuable upon conversion, on a one-for-one basis, of an equivalent number of Class B ordinary shares, held, in the aggregate, by, Pitango Growth Fund I, L.P. and Pitango Growth Principals Fund I, L.P.. Pitango G.E. Fund I, L.P. has shared voting and dispositive power over 9,245,736 Class A ordinary shares, which consists of 3,081,912 Class A ordinary shares; and (ii) an additional 6,163,824 Class A ordinary shares issuable upon conversion, on a one-for-o basis, of an equivalent number of Class B ordinary shares, held in the aggregate, by Pitango Growth Fund I, L.P. and Pitango Growth Principals Fund I, L.P., for each of which Pitango G.E. Fund I, L.P. serves as the sole general partner. The partners of Pitango G.E. Fund I, L.P. are one individual and eight private companies that are ech owned by one of the following individu</w:t>
      </w:r>
    </w:p>
    <w:p>
      <w:pPr>
        <w:spacing w:after="0" w:line="1" w:lineRule="exact"/>
        <w:rPr>
          <w:rFonts w:ascii="Arial" w:cs="Arial" w:eastAsia="Arial" w:hAnsi="Arial"/>
          <w:sz w:val="12"/>
          <w:szCs w:val="12"/>
          <w:color w:val="auto"/>
        </w:rPr>
      </w:pPr>
    </w:p>
    <w:p>
      <w:pPr>
        <w:ind w:left="460" w:hanging="10"/>
        <w:spacing w:after="0" w:line="224" w:lineRule="auto"/>
        <w:tabs>
          <w:tab w:leader="none" w:pos="536" w:val="left"/>
        </w:tabs>
        <w:numPr>
          <w:ilvl w:val="1"/>
          <w:numId w:val="70"/>
        </w:numPr>
        <w:rPr>
          <w:rFonts w:ascii="Arial" w:cs="Arial" w:eastAsia="Arial" w:hAnsi="Arial"/>
          <w:sz w:val="12"/>
          <w:szCs w:val="12"/>
          <w:color w:val="auto"/>
        </w:rPr>
      </w:pPr>
      <w:r>
        <w:rPr>
          <w:rFonts w:ascii="Arial" w:cs="Arial" w:eastAsia="Arial" w:hAnsi="Arial"/>
          <w:sz w:val="12"/>
          <w:szCs w:val="12"/>
          <w:color w:val="auto"/>
        </w:rPr>
        <w:t>Rami Beracha, Ayal Itzkovitz, Eyal Niv, Ittai Harel, Rami Kalish, Aaron Mankovski, Chemi Peres and Zeev Binman (the "Pitango Principals"). The Pitango Principals may therefore be deemed to possess shared voting and dispositive power with respect to all Class A ordinary shares and Class B ordinary shares held by the Pitango entities. The business address of each Pitango entity is 11 HaMenofim St., Building B, Herzliya, 4672562, Israel.</w:t>
      </w:r>
    </w:p>
    <w:p>
      <w:pPr>
        <w:spacing w:after="0" w:line="24" w:lineRule="exact"/>
        <w:rPr>
          <w:rFonts w:ascii="Arial" w:cs="Arial" w:eastAsia="Arial" w:hAnsi="Arial"/>
          <w:sz w:val="12"/>
          <w:szCs w:val="12"/>
          <w:color w:val="auto"/>
        </w:rPr>
      </w:pPr>
    </w:p>
    <w:p>
      <w:pPr>
        <w:jc w:val="both"/>
        <w:ind w:left="460" w:right="20" w:hanging="460"/>
        <w:spacing w:after="0" w:line="207" w:lineRule="auto"/>
        <w:tabs>
          <w:tab w:leader="none" w:pos="77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information reported on a Schedule 13G/A filed on February 9, 2022, FMR LLC has sole voting power over 2,403,190 Class A ordinary shares and sole dispositive power o 9,236,128 Class A ordinary shares. Abigail P. Johnson has sole dispositive power over 9,236,128 Class A ordinary shares. 5,547,166 of the Class A ordinary shares held by FMR LLC and Abigail P. Johnson are issuable upon conversion, on a one-for-one basis, of an equivalent number of Class B ordinary shares, held by investment companies advised by Fidelity Managem &amp; Research Company LLC, Fidelity Institutional Asset Management Trust Company, and Fidelity Management Trust Company, indirect wholly-owned subsidiaries of FMR LLC. Abigail P.</w:t>
      </w:r>
    </w:p>
    <w:p>
      <w:pPr>
        <w:jc w:val="both"/>
        <w:ind w:left="460" w:right="240"/>
        <w:spacing w:after="0" w:line="207" w:lineRule="auto"/>
        <w:rPr>
          <w:rFonts w:ascii="Arial" w:cs="Arial" w:eastAsia="Arial" w:hAnsi="Arial"/>
          <w:sz w:val="12"/>
          <w:szCs w:val="12"/>
          <w:color w:val="auto"/>
        </w:rPr>
      </w:pPr>
      <w:r>
        <w:rPr>
          <w:rFonts w:ascii="Arial" w:cs="Arial" w:eastAsia="Arial" w:hAnsi="Arial"/>
          <w:sz w:val="12"/>
          <w:szCs w:val="12"/>
          <w:color w:val="auto"/>
        </w:rPr>
        <w:t>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w:t>
      </w:r>
    </w:p>
    <w:p>
      <w:pPr>
        <w:ind w:left="460"/>
        <w:spacing w:after="0" w:line="217" w:lineRule="auto"/>
        <w:rPr>
          <w:rFonts w:ascii="Arial" w:cs="Arial" w:eastAsia="Arial" w:hAnsi="Arial"/>
          <w:sz w:val="12"/>
          <w:szCs w:val="12"/>
          <w:color w:val="auto"/>
        </w:rPr>
      </w:pPr>
      <w:r>
        <w:rPr>
          <w:rFonts w:ascii="Arial" w:cs="Arial" w:eastAsia="Arial" w:hAnsi="Arial"/>
          <w:sz w:val="12"/>
          <w:szCs w:val="12"/>
          <w:color w:val="auto"/>
        </w:rPr>
        <w:t>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 owned directly by the various investment companies registered under the Investment Company Act ("Fidelity Funds") advised by Fidelity Management &amp; Research Company LLC ("FMR C LLC"), a wholly owned subsidiary of FMR LLC, which power resides with the Fidelity Funds' Boards of Trustees. FMR Co. LLC carries out the voting of the shares under written guidelines established by the Fidelity Funds' Boards of Trustees. The business address of FMR LLC and Abigail P. Johnson is 245 Summer Street, Boston, Massachusetts 02210.</w:t>
      </w:r>
    </w:p>
    <w:p>
      <w:pPr>
        <w:spacing w:after="0" w:line="25" w:lineRule="exact"/>
        <w:rPr>
          <w:rFonts w:ascii="Arial" w:cs="Arial" w:eastAsia="Arial" w:hAnsi="Arial"/>
          <w:sz w:val="12"/>
          <w:szCs w:val="12"/>
          <w:color w:val="auto"/>
        </w:rPr>
      </w:pPr>
    </w:p>
    <w:p>
      <w:pPr>
        <w:ind w:left="460" w:hanging="460"/>
        <w:spacing w:after="0" w:line="215" w:lineRule="auto"/>
        <w:tabs>
          <w:tab w:leader="none" w:pos="778"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information reported on a Schedule 13G filed on February 7, 2022, The Phoenix Holdings Ltd. ("Phoenix Holdings") has shared voting power over 6,795,251 Class A ordina shares and shared dispositive power of 6,795,251 of our Class A ordinary shares. The Class A ordinary shares reported by Phoenix Holdings are beneficially owned by various direct and indirect, majority or wholly-owned subsidiaries of Phoenix Holdings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 The business address of The Phoenix Holdings Ltd. is Derech Hashalon 53, Givataim, 53454, Israel.</w:t>
      </w:r>
    </w:p>
    <w:p>
      <w:pPr>
        <w:spacing w:after="0" w:line="26" w:lineRule="exact"/>
        <w:rPr>
          <w:rFonts w:ascii="Arial" w:cs="Arial" w:eastAsia="Arial" w:hAnsi="Arial"/>
          <w:sz w:val="12"/>
          <w:szCs w:val="12"/>
          <w:color w:val="auto"/>
        </w:rPr>
      </w:pPr>
    </w:p>
    <w:p>
      <w:pPr>
        <w:ind w:left="760" w:hanging="760"/>
        <w:spacing w:after="0"/>
        <w:tabs>
          <w:tab w:leader="none" w:pos="7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Consists of 4,556,650 Class A ordinary shares and 9,113,300 Class B ordinary shares held directly by Mr. 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159385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80"/>
          </w:cols>
          <w:pgMar w:left="980" w:top="1440" w:right="239" w:bottom="1440" w:gutter="0" w:footer="0" w:header="0"/>
        </w:sectPr>
      </w:pPr>
    </w:p>
    <w:bookmarkStart w:id="107" w:name="page108"/>
    <w:bookmarkEnd w:id="107"/>
    <w:p>
      <w:pPr>
        <w:spacing w:after="0" w:line="6" w:lineRule="exact"/>
        <w:rPr>
          <w:sz w:val="20"/>
          <w:szCs w:val="20"/>
          <w:color w:val="auto"/>
        </w:rPr>
      </w:pPr>
    </w:p>
    <w:p>
      <w:pPr>
        <w:jc w:val="both"/>
        <w:ind w:left="1120" w:hanging="460"/>
        <w:spacing w:after="0" w:line="224" w:lineRule="auto"/>
        <w:tabs>
          <w:tab w:leader="none" w:pos="14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Represents 4,356,650 Class A ordinary shares and 9,113,300 Class B ordinary shares, which consists of (i) 1,167,100 Class A ordinary shares and 2,734,200 Class B ordinary share held directly by Mr. Feldman, and (ii) 3,189,550 Class A ordinary shares and 6,379,100 Class B ordinary shares held by Sundance NYC Holdings LLC. Mr. Feldman has shared voting pow over the Class A ordinary shares and Class B ordinary shares held by Sundance NYC Holdings LLC.</w:t>
      </w:r>
    </w:p>
    <w:p>
      <w:pPr>
        <w:spacing w:after="0" w:line="24" w:lineRule="exact"/>
        <w:rPr>
          <w:rFonts w:ascii="Arial" w:cs="Arial" w:eastAsia="Arial" w:hAnsi="Arial"/>
          <w:sz w:val="12"/>
          <w:szCs w:val="12"/>
          <w:color w:val="auto"/>
        </w:rPr>
      </w:pPr>
    </w:p>
    <w:p>
      <w:pPr>
        <w:ind w:left="1120" w:right="40" w:hanging="460"/>
        <w:spacing w:after="0" w:line="224" w:lineRule="auto"/>
        <w:tabs>
          <w:tab w:leader="none" w:pos="14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Mr. Shachar holds no shares directly. Mr. Shachar is a Managing Partner at Qumra Capital, which manages funds that collectively own Class A ordinary shares and Class B ordinary shares. See note 5 above. Mr. Shachar disclaims beneficial ownership of the ordinary shares held by Qumra Capital, except to the extent of his pecuniary interest, if any, in such ordinary shares by virtue of his interest in Qumra Capital and his indirect limited partnership interest in Qumra Capital.</w:t>
      </w:r>
    </w:p>
    <w:p>
      <w:pPr>
        <w:spacing w:after="0" w:line="24" w:lineRule="exact"/>
        <w:rPr>
          <w:rFonts w:ascii="Arial" w:cs="Arial" w:eastAsia="Arial" w:hAnsi="Arial"/>
          <w:sz w:val="12"/>
          <w:szCs w:val="12"/>
          <w:color w:val="auto"/>
        </w:rPr>
      </w:pPr>
    </w:p>
    <w:p>
      <w:pPr>
        <w:jc w:val="both"/>
        <w:ind w:left="1120" w:hanging="460"/>
        <w:spacing w:after="0" w:line="224" w:lineRule="auto"/>
        <w:tabs>
          <w:tab w:leader="none" w:pos="14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Mr. Kishon holds no shares directly. Mr. Kishon is a Managing Partner at Genesis Partners, which manages funds that collectively own ordinary shares. See note 3 above. Mr. Kishon disclaims beneficial ownership of the ordinary shares held by Genesis Partners, except to the extent of his pecuniary interest, if any, in such ordinary shares by virtue of his interest in Gene Partners and his indirect limited partnership interest in Genesis Partners.</w:t>
      </w:r>
    </w:p>
    <w:p>
      <w:pPr>
        <w:spacing w:after="0" w:line="24" w:lineRule="exact"/>
        <w:rPr>
          <w:rFonts w:ascii="Arial" w:cs="Arial" w:eastAsia="Arial" w:hAnsi="Arial"/>
          <w:sz w:val="12"/>
          <w:szCs w:val="12"/>
          <w:color w:val="auto"/>
        </w:rPr>
      </w:pPr>
    </w:p>
    <w:p>
      <w:pPr>
        <w:ind w:left="1120" w:hanging="460"/>
        <w:spacing w:after="0" w:line="224" w:lineRule="auto"/>
        <w:tabs>
          <w:tab w:leader="none" w:pos="14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Mr. Mankovski holds no shares directly. Mr. Mankovski is a Managing Partner at Pitango Venture Capital, which manages funds that collectively own ordinary shares. See note 6 abov Mr. Mankovski disclaims beneficial ownership of the ordinary shares held by Pitango Venture Capital, except to the extent of his pecuniary interest, if any, in such ordinary shares by virtue his interest in Pitango Venture Capital and his indirect limited partnership interest in Pitango Venture Capital.</w:t>
      </w:r>
    </w:p>
    <w:p>
      <w:pPr>
        <w:spacing w:after="0" w:line="24" w:lineRule="exact"/>
        <w:rPr>
          <w:rFonts w:ascii="Arial" w:cs="Arial" w:eastAsia="Arial" w:hAnsi="Arial"/>
          <w:sz w:val="12"/>
          <w:szCs w:val="12"/>
          <w:color w:val="auto"/>
        </w:rPr>
      </w:pPr>
    </w:p>
    <w:p>
      <w:pPr>
        <w:jc w:val="both"/>
        <w:ind w:left="1120" w:hanging="460"/>
        <w:spacing w:after="0" w:line="224" w:lineRule="auto"/>
        <w:tabs>
          <w:tab w:leader="none" w:pos="14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Mr. Syed holds no shares directly. Mr. Syed is a Managing Director at General Atlantic RK B.V., which manages funds that collectively own ordinary shares. See note 4 above. Mr. Sy disclaims beneficial ownership of the ordinary shares held by General Atlantic RK B.V., except to the extent of his pecuniary interest, if any, in such ordinary shares by virtue of his interest i General Atlantic RK B.V. and his indirect limited partnership interest in General Atlantic RK B.V.</w:t>
      </w:r>
    </w:p>
    <w:p>
      <w:pPr>
        <w:spacing w:after="0" w:line="24" w:lineRule="exact"/>
        <w:rPr>
          <w:rFonts w:ascii="Arial" w:cs="Arial" w:eastAsia="Arial" w:hAnsi="Arial"/>
          <w:sz w:val="12"/>
          <w:szCs w:val="12"/>
          <w:color w:val="auto"/>
        </w:rPr>
      </w:pPr>
    </w:p>
    <w:p>
      <w:pPr>
        <w:ind w:left="1420" w:hanging="760"/>
        <w:spacing w:after="0"/>
        <w:tabs>
          <w:tab w:leader="none" w:pos="1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Represents for Ms. Ceran, 6,500 Class A ordinary shares underlying RSUs that are currently vested or that will vest within sixty days of January 31, 2022.</w:t>
      </w:r>
    </w:p>
    <w:p>
      <w:pPr>
        <w:spacing w:after="0" w:line="34" w:lineRule="exact"/>
        <w:rPr>
          <w:rFonts w:ascii="Arial" w:cs="Arial" w:eastAsia="Arial" w:hAnsi="Arial"/>
          <w:sz w:val="12"/>
          <w:szCs w:val="12"/>
          <w:color w:val="auto"/>
        </w:rPr>
      </w:pPr>
    </w:p>
    <w:p>
      <w:pPr>
        <w:ind w:left="1120" w:right="60" w:hanging="460"/>
        <w:spacing w:after="0" w:line="232" w:lineRule="auto"/>
        <w:tabs>
          <w:tab w:leader="none" w:pos="14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Represents for Ms. Dotcheva, (a) 117,336 Class A ordinary shares and (b) 686,219 Class A ordinary shares underlying options that are currently vested and exercisable or that vest become exercisable within sixty days of January 31, 2022.</w:t>
      </w:r>
    </w:p>
    <w:p>
      <w:pPr>
        <w:spacing w:after="0" w:line="24" w:lineRule="exact"/>
        <w:rPr>
          <w:rFonts w:ascii="Arial" w:cs="Arial" w:eastAsia="Arial" w:hAnsi="Arial"/>
          <w:sz w:val="12"/>
          <w:szCs w:val="12"/>
          <w:color w:val="auto"/>
        </w:rPr>
      </w:pPr>
    </w:p>
    <w:p>
      <w:pPr>
        <w:ind w:left="1120" w:right="20" w:hanging="460"/>
        <w:spacing w:after="0" w:line="232" w:lineRule="auto"/>
        <w:tabs>
          <w:tab w:leader="none" w:pos="14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Represents for Ms. Ofek Arad, 420,560 Class A ordinary shares underlying options that are currently vested and exercisable or that will vest and become exercisable within sixty day January 31, 2022.</w:t>
      </w:r>
    </w:p>
    <w:p>
      <w:pPr>
        <w:spacing w:after="0" w:line="24" w:lineRule="exact"/>
        <w:rPr>
          <w:rFonts w:ascii="Arial" w:cs="Arial" w:eastAsia="Arial" w:hAnsi="Arial"/>
          <w:sz w:val="12"/>
          <w:szCs w:val="12"/>
          <w:color w:val="auto"/>
        </w:rPr>
      </w:pPr>
    </w:p>
    <w:p>
      <w:pPr>
        <w:ind w:left="1420" w:hanging="760"/>
        <w:spacing w:after="0"/>
        <w:tabs>
          <w:tab w:leader="none" w:pos="1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Represents for Mr. Elmgren, 156,273 Class A ordinary shares underlying RSUs that are currently vested or that will vest within sixty days of January 31, 2022.</w:t>
      </w:r>
    </w:p>
    <w:p>
      <w:pPr>
        <w:spacing w:after="0" w:line="34" w:lineRule="exact"/>
        <w:rPr>
          <w:rFonts w:ascii="Arial" w:cs="Arial" w:eastAsia="Arial" w:hAnsi="Arial"/>
          <w:sz w:val="12"/>
          <w:szCs w:val="12"/>
          <w:color w:val="auto"/>
        </w:rPr>
      </w:pPr>
    </w:p>
    <w:p>
      <w:pPr>
        <w:ind w:left="1420" w:hanging="760"/>
        <w:spacing w:after="0"/>
        <w:tabs>
          <w:tab w:leader="none" w:pos="1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Includes 1,269,552 Class A ordinary shares underlying options and RSUs that are, as applicable, currently vested and exercisable or that will vest within sixty days of January 31, 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Holders</w:t>
      </w:r>
    </w:p>
    <w:p>
      <w:pPr>
        <w:spacing w:after="0" w:line="186" w:lineRule="exact"/>
        <w:rPr>
          <w:sz w:val="20"/>
          <w:szCs w:val="20"/>
          <w:color w:val="auto"/>
        </w:rPr>
      </w:pPr>
    </w:p>
    <w:p>
      <w:pPr>
        <w:ind w:right="480" w:firstLine="318"/>
        <w:spacing w:after="0" w:line="247" w:lineRule="auto"/>
        <w:rPr>
          <w:sz w:val="20"/>
          <w:szCs w:val="20"/>
          <w:color w:val="auto"/>
        </w:rPr>
      </w:pPr>
      <w:r>
        <w:rPr>
          <w:rFonts w:ascii="Arial" w:cs="Arial" w:eastAsia="Arial" w:hAnsi="Arial"/>
          <w:sz w:val="18"/>
          <w:szCs w:val="18"/>
          <w:color w:val="auto"/>
        </w:rPr>
        <w:t>As of January 31, 2022, our Class A ordinary shares were held by 107 record holders and our Class B ordinary shares were held by 41 record holders. Based on a review of the information provided to us by our transfer agent, (a) 51 record holders, including Cede &amp; Co., the nominee of The Depository Trust Company, holding approximately 60.7% of our outstanding Class A ordinary shares held of record, were residents of the United States, and (b) 21 record holders, holding approximately 32.6% of our outstanding Class B ordinary shares held of record, were residents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Changes in Ownership</w:t>
      </w:r>
    </w:p>
    <w:p>
      <w:pPr>
        <w:spacing w:after="0" w:line="186"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To our knowledge, other than as disclosed in the table above, our other filings with the SEC and this Annual Report, there has been no significant change in the percentage ownership held by any major shareholder during the past three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86"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Neither our major shareholders nor our directors and executive officers will have different or special voting rights with respect to their ordinary shares, except that each Class A ordinary share is entitled to one vote per share and each Class B ordinary share is be entitled to ten votes per share. For additional information about our dual class structure, see Exhibit 2.2 to this Annual Report, which is incorporated by reference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Arrangements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the Company.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Related Party Transactions</w:t>
      </w:r>
    </w:p>
    <w:p>
      <w:pPr>
        <w:spacing w:after="0" w:line="186" w:lineRule="exact"/>
        <w:rPr>
          <w:sz w:val="20"/>
          <w:szCs w:val="20"/>
          <w:color w:val="auto"/>
        </w:rPr>
      </w:pPr>
    </w:p>
    <w:p>
      <w:pPr>
        <w:ind w:right="340" w:firstLine="318"/>
        <w:spacing w:after="0" w:line="270"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08" w:name="page109"/>
    <w:bookmarkEnd w:id="108"/>
    <w:p>
      <w:pPr>
        <w:ind w:right="140"/>
        <w:spacing w:after="0" w:line="251" w:lineRule="auto"/>
        <w:rPr>
          <w:sz w:val="20"/>
          <w:szCs w:val="20"/>
          <w:color w:val="auto"/>
        </w:rPr>
      </w:pPr>
      <w:r>
        <w:rPr>
          <w:rFonts w:ascii="Arial" w:cs="Arial" w:eastAsia="Arial" w:hAnsi="Arial"/>
          <w:sz w:val="18"/>
          <w:szCs w:val="18"/>
          <w:color w:val="auto"/>
        </w:rPr>
        <w:t>following includes, among other information, a description of related party transactions, as defined under Item 7.B of Form 20-F, since January 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Appointment - Pre-IPO</w:t>
      </w:r>
    </w:p>
    <w:p>
      <w:pPr>
        <w:spacing w:after="0" w:line="186"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Our current board of directors consists of seven directors. Pursuant to our articles of association in effect prior to the IPO, certain of our shareholders had rights to appoint members of our board of directors and observers to our board of directors.</w:t>
      </w:r>
    </w:p>
    <w:p>
      <w:pPr>
        <w:spacing w:after="0" w:line="150"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All rights to appoint directors and observers terminated upon the closing of our IPO, although currently serving directors who were appointed prior to our IPO continue to serve pursuant to their appointment until the annual meeting of shareholders at which the term of their class of director expires.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not a party to, and are not aware of, any voting agreements among our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Our amended and restated investors’ rights agreement entitles certain of our shareholders to certain registration rights with respect to the registrable securities held by them. In accordance with this agreement, and subject to conditions listed below, the following entities which are affiliates under U.S. securities laws are among those entitled to registration rights under the agreement: entities affiliated with each of Genesis Partners, General Atlantic, Pitango, Qumra and Fidelity Management &amp; Research Company, as well as our Chief Executive Officer (and individuals and entities affiliated with our Chief Executive Officer), and our Chief Technology Officer.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F-1 Demand Rights</w:t>
      </w:r>
    </w:p>
    <w:p>
      <w:pPr>
        <w:spacing w:after="0" w:line="186"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At any time following the expiration or waiver of the lock-up imposed by the underwriters in connection with our IPO, the holders of at least 30% of the registrable securities then outstanding may request that we register all or a portion of their shares. Following the receipt of such request, we are required to give notice of the request to the other holders of registrable securities and offer them an opportunity to include their shares in the registration statement. Such request for registration must cover securities the aggregate offering price of which, after payment of the underwriting discount and commissions, would exceed $5,000,000. We will not be required to effect more than two registrations on Form F-1 that have been declared effective. The Company has the right to defer such registration under certain circumstances.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F-3 Demand Rights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holders of at least 15% of the registrable securities then outstanding can make a request that we register their shares on Form F-3 if we are qualified to file a registration statement on Form F-3 and if the offering price, after payment of the underwriting discount and commissions, would equal or exceed $3,000,000. We will not be required to effect more than two registrations on Form F-3 within any 12-month period. The Company has the right to defer such registration under certain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in connection with such offering, certain holders of our registrable securities will be entitled to certain piggyback registration rights allowing the holder to include its registrable securities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109" w:name="page110"/>
    <w:bookmarkEnd w:id="109"/>
    <w:p>
      <w:pPr>
        <w:ind w:right="220"/>
        <w:spacing w:after="0" w:line="251" w:lineRule="auto"/>
        <w:rPr>
          <w:sz w:val="20"/>
          <w:szCs w:val="20"/>
          <w:color w:val="auto"/>
        </w:rPr>
      </w:pPr>
      <w:r>
        <w:rPr>
          <w:rFonts w:ascii="Arial" w:cs="Arial" w:eastAsia="Arial" w:hAnsi="Arial"/>
          <w:sz w:val="18"/>
          <w:szCs w:val="18"/>
          <w:color w:val="auto"/>
        </w:rPr>
        <w:t>securities, the holders of these shares are entitled to notice of the registration and have the right, subject to certain limitations, to include their shares in the registration.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168" w:lineRule="exact"/>
        <w:rPr>
          <w:sz w:val="20"/>
          <w:szCs w:val="20"/>
          <w:color w:val="auto"/>
        </w:rPr>
      </w:pPr>
    </w:p>
    <w:p>
      <w:pPr>
        <w:ind w:right="100" w:firstLine="318"/>
        <w:spacing w:after="0" w:line="259"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We have entered into at-will employment agreements with each of our executive officers who works for us as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These agreements each contain provisions regarding non-competition, confidentiality of information and assignment of inventions. The enforceability of covenants not to compete is subject to limitations.</w:t>
      </w:r>
    </w:p>
    <w:p>
      <w:pPr>
        <w:spacing w:after="0" w:line="14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provisions of certain of our executive officers’ employment agreements contain termination or change of control provisions. With respect to certain executive officers, either we or the executive officer may terminate his or her employment by giving advance written notice to the other party ranging from zero to three months. We may also terminate an executive officer’s employment agreement for cause (as defined in the applicable employment agreement). We describe the arrangements with our executive officers under Item 6.B. “</w:t>
      </w:r>
      <w:r>
        <w:rPr>
          <w:rFonts w:ascii="Arial" w:cs="Arial" w:eastAsia="Arial" w:hAnsi="Arial"/>
          <w:sz w:val="18"/>
          <w:szCs w:val="18"/>
          <w:i w:val="1"/>
          <w:iCs w:val="1"/>
          <w:color w:val="auto"/>
        </w:rPr>
        <w:t>Directors, Senior</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Employees — Aggregate Compensation of Office Holders.”</w:t>
      </w:r>
    </w:p>
    <w:p>
      <w:pPr>
        <w:spacing w:after="0" w:line="136" w:lineRule="exact"/>
        <w:rPr>
          <w:sz w:val="20"/>
          <w:szCs w:val="20"/>
          <w:color w:val="auto"/>
        </w:rPr>
      </w:pPr>
    </w:p>
    <w:p>
      <w:pPr>
        <w:jc w:val="both"/>
        <w:ind w:right="280" w:firstLine="318"/>
        <w:spacing w:after="0" w:line="259"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Since our inception, we have granted options to purchase our ordinary shares and/or RSUs to our employees and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describe our equity incentive plans under Item 6.B. “</w:t>
      </w:r>
      <w:r>
        <w:rPr>
          <w:rFonts w:ascii="Arial" w:cs="Arial" w:eastAsia="Arial" w:hAnsi="Arial"/>
          <w:sz w:val="18"/>
          <w:szCs w:val="18"/>
          <w:i w:val="1"/>
          <w:iCs w:val="1"/>
          <w:color w:val="auto"/>
        </w:rPr>
        <w:t>Directors, Senior Management and Employees — Compensation —Equity</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Plans</w:t>
      </w:r>
      <w:r>
        <w:rPr>
          <w:rFonts w:ascii="Arial" w:cs="Arial" w:eastAsia="Arial" w:hAnsi="Arial"/>
          <w:sz w:val="18"/>
          <w:szCs w:val="18"/>
          <w:color w:val="auto"/>
        </w:rPr>
        <w:t>.”</w:t>
      </w:r>
    </w:p>
    <w:p>
      <w:pPr>
        <w:spacing w:after="0" w:line="12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 xml:space="preserve">Exculpation, Indemnification and Insurance. </w:t>
      </w:r>
      <w:r>
        <w:rPr>
          <w:rFonts w:ascii="Arial" w:cs="Arial" w:eastAsia="Arial" w:hAnsi="Arial"/>
          <w:sz w:val="18"/>
          <w:szCs w:val="18"/>
          <w:color w:val="auto"/>
        </w:rPr>
        <w:t>Our amended and restated articles of association permit us to exculpate, indemnify and insure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directors and office holders to the fullest extent permitted by the Companies Law. We have entered into agreements with certain directors and office holders, exculpating them from a breach of their duty of care to us to the fullest extent permitted by law and undertaking to indemnify them to the fullest extent permitted by law, subject to certain exceptions, including with respect to liabilities resulting from the IPO to the extent that these liabilities are not covered by insurance. See Item 6.C. “</w:t>
      </w:r>
      <w:r>
        <w:rPr>
          <w:rFonts w:ascii="Arial" w:cs="Arial" w:eastAsia="Arial" w:hAnsi="Arial"/>
          <w:sz w:val="18"/>
          <w:szCs w:val="18"/>
          <w:i w:val="1"/>
          <w:iCs w:val="1"/>
          <w:color w:val="auto"/>
        </w:rPr>
        <w:t>Directors, Senior Management and Employees — Board Practices</w:t>
      </w:r>
      <w:r>
        <w:rPr>
          <w:rFonts w:ascii="Arial" w:cs="Arial" w:eastAsia="Arial" w:hAnsi="Arial"/>
          <w:sz w:val="18"/>
          <w:szCs w:val="18"/>
          <w:color w:val="auto"/>
        </w:rPr>
        <w:t xml:space="preserve"> </w:t>
      </w:r>
      <w:r>
        <w:rPr>
          <w:rFonts w:ascii="Arial" w:cs="Arial" w:eastAsia="Arial" w:hAnsi="Arial"/>
          <w:sz w:val="18"/>
          <w:szCs w:val="18"/>
          <w:i w:val="1"/>
          <w:iCs w:val="1"/>
          <w:color w:val="auto"/>
        </w:rPr>
        <w:t>—Exculpation, Insurance and Indemnification of Office Holders</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Agreement</w:t>
      </w:r>
    </w:p>
    <w:p>
      <w:pPr>
        <w:spacing w:after="0" w:line="186"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On June 27, 2021, we entered into an amended SaaS Agreement (the “SaaS Agreement”) with Wayfair. The SaaS Agreement has a five-year term, with an option for the customer to terminate the SaaS Agreement following the three-year anniversary date.</w:t>
      </w:r>
    </w:p>
    <w:p>
      <w:pPr>
        <w:spacing w:after="0" w:line="15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conjunction with the SaaS Agreement, we issued a warrant to Wayfair to purchase up to 499,500 Class A ordinary shares at an exercise price of $0.007 per share, after giving effect to the Recapitalization. The warrant vests annually, in equal amounts, over a five-year period commencing on the effective date of the SaaS Agreement. Vesting during the first three years is contingent on the SaaS Agreement being in full force and effect in accordance with its terms and Wayfair not being in default or material breach under the terms of the SaaS Agreement, which includes Wayfair complying with certain volume commitments. Vesting during the last two years is contingent upon the vesting conditions being met during the first three years.</w:t>
      </w:r>
    </w:p>
    <w:p>
      <w:pPr>
        <w:spacing w:after="0" w:line="158" w:lineRule="exact"/>
        <w:rPr>
          <w:sz w:val="20"/>
          <w:szCs w:val="20"/>
          <w:color w:val="auto"/>
        </w:rPr>
      </w:pPr>
    </w:p>
    <w:p>
      <w:pPr>
        <w:ind w:right="240" w:firstLine="318"/>
        <w:spacing w:after="0" w:line="266" w:lineRule="auto"/>
        <w:rPr>
          <w:sz w:val="20"/>
          <w:szCs w:val="20"/>
          <w:color w:val="auto"/>
        </w:rPr>
      </w:pPr>
      <w:r>
        <w:rPr>
          <w:rFonts w:ascii="Arial" w:cs="Arial" w:eastAsia="Arial" w:hAnsi="Arial"/>
          <w:sz w:val="17"/>
          <w:szCs w:val="17"/>
          <w:color w:val="auto"/>
        </w:rPr>
        <w:t>The warrant is accounted for as consideration payable to a customer under ASC 606 and will reduce revenue as we recognize revenue under the SaaS Agreement over a period of five years in an aggregate amount of approximately $8.0 million, which represents the grant date fair value of the warrant, and is calculated by using a straight-line interpolation between the most recent third-party valuation immediately preceding the grant date and the midpoint of the price range set forth on the cover page of our preliminary Annual Report.</w:t>
      </w:r>
    </w:p>
    <w:p>
      <w:pPr>
        <w:spacing w:after="0" w:line="140"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Class A ordinary shares issuable to Wayfair upon exercise of the warrant are entitled to certain registration rights under the Investors’ Rights Agreement as described in greater detail above in the section titled “</w:t>
      </w:r>
      <w:r>
        <w:rPr>
          <w:rFonts w:ascii="Arial" w:cs="Arial" w:eastAsia="Arial" w:hAnsi="Arial"/>
          <w:sz w:val="18"/>
          <w:szCs w:val="18"/>
          <w:i w:val="1"/>
          <w:iCs w:val="1"/>
          <w:color w:val="auto"/>
        </w:rPr>
        <w:t>Related Party Transactions —Registration Rights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0" w:name="page111"/>
    <w:bookmarkEnd w:id="110"/>
    <w:p>
      <w:pPr>
        <w:ind w:left="320"/>
        <w:spacing w:after="0"/>
        <w:rPr>
          <w:sz w:val="20"/>
          <w:szCs w:val="20"/>
          <w:color w:val="auto"/>
        </w:rPr>
      </w:pPr>
      <w:r>
        <w:rPr>
          <w:rFonts w:ascii="Arial" w:cs="Arial" w:eastAsia="Arial" w:hAnsi="Arial"/>
          <w:sz w:val="18"/>
          <w:szCs w:val="18"/>
          <w:b w:val="1"/>
          <w:bCs w:val="1"/>
          <w:color w:val="auto"/>
        </w:rPr>
        <w:t>C. Interests of Experts and Counsel</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Consolidated Financial Statements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18.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Legal and Arbitration Proceedings</w:t>
      </w:r>
    </w:p>
    <w:p>
      <w:pPr>
        <w:spacing w:after="0" w:line="182"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From time to time, we may be involved in various claims and legal proceedings related to claims arising out of our operations. Although the outcome of the various legal proceedings and claims cannot be predicted with certainty, we are not currently a party to any legal proceedings that, if determined adversely to us, would, in our opinion, likely have a significant effect on our financial position or profitability.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 Policy</w:t>
      </w:r>
    </w:p>
    <w:p>
      <w:pPr>
        <w:spacing w:after="0" w:line="182"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do not anticipate paying any dividends in the foreseeable future. We currently intend to retain future earnings, if any, to finance operations and expand our business. Our board of directors has sole discretion in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years ended December 31, 2021, December 31, 2020 and December 31, 2019, we did not pay any dividends.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Companies Law imposes restrictions on our ability to declare and pay dividends.</w:t>
      </w:r>
    </w:p>
    <w:p>
      <w:pPr>
        <w:spacing w:after="0" w:line="146" w:lineRule="exact"/>
        <w:rPr>
          <w:sz w:val="20"/>
          <w:szCs w:val="20"/>
          <w:color w:val="auto"/>
        </w:rPr>
      </w:pPr>
    </w:p>
    <w:p>
      <w:pPr>
        <w:ind w:right="400" w:firstLine="318"/>
        <w:spacing w:after="0" w:line="272" w:lineRule="auto"/>
        <w:rPr>
          <w:sz w:val="20"/>
          <w:szCs w:val="20"/>
          <w:color w:val="auto"/>
        </w:rPr>
      </w:pPr>
      <w:r>
        <w:rPr>
          <w:rFonts w:ascii="Arial" w:cs="Arial" w:eastAsia="Arial" w:hAnsi="Arial"/>
          <w:sz w:val="18"/>
          <w:szCs w:val="18"/>
          <w:color w:val="auto"/>
        </w:rPr>
        <w:t>Payment of dividends may be subject to Israeli withholding taxes. See Item 10.E “</w:t>
      </w:r>
      <w:r>
        <w:rPr>
          <w:rFonts w:ascii="Arial" w:cs="Arial" w:eastAsia="Arial" w:hAnsi="Arial"/>
          <w:sz w:val="18"/>
          <w:szCs w:val="18"/>
          <w:i w:val="1"/>
          <w:iCs w:val="1"/>
          <w:color w:val="auto"/>
        </w:rPr>
        <w:t>Taxation — Israeli Tax Considerations</w:t>
      </w:r>
      <w:r>
        <w:rPr>
          <w:rFonts w:ascii="Arial" w:cs="Arial" w:eastAsia="Arial" w:hAnsi="Arial"/>
          <w:sz w:val="18"/>
          <w:szCs w:val="18"/>
          <w:color w:val="auto"/>
        </w:rPr>
        <w:t>” for additional information.</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Significant Changes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Offer and Listing Details</w:t>
      </w:r>
    </w:p>
    <w:p>
      <w:pPr>
        <w:spacing w:after="0" w:line="18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Our Class A ordinary shares commenced trading on the NYSE on July 29, 2021 under the symbol “RSKD.” Prior to this, no public market existed for our Class A ordinary shares.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Plan of Distribution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Markets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A ordinary shares commenced trading on the NYSE on July 29, 2021 under the symbol “RSKD.”</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389"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Dilution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Expenses of the Issue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159385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819"/>
          </w:cols>
          <w:pgMar w:left="640" w:top="1411" w:right="1440"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Share Capital</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86"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A copy of our amended and restated articles of association is attached as Exhibit 1.1 to this Annual Report. The information called for by this Item is set forth in Exhibit 2.2 to this Annual Report and is incorporated by reference herein.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 Material Contracts</w:t>
      </w:r>
    </w:p>
    <w:p>
      <w:pPr>
        <w:spacing w:after="0" w:line="186"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Except as disclosed below or otherwise disclosed in this Annual Report (including the Exhibits), we are not currently, nor have we been for the past two years, party to any material contract, other than contracts entered into in the ordinary course of business:</w:t>
      </w:r>
    </w:p>
    <w:p>
      <w:pPr>
        <w:spacing w:after="0" w:line="150" w:lineRule="exact"/>
        <w:rPr>
          <w:sz w:val="20"/>
          <w:szCs w:val="20"/>
          <w:color w:val="auto"/>
        </w:rPr>
      </w:pPr>
    </w:p>
    <w:p>
      <w:pPr>
        <w:ind w:right="200" w:firstLine="324"/>
        <w:spacing w:after="0" w:line="248" w:lineRule="auto"/>
        <w:tabs>
          <w:tab w:leader="none" w:pos="883" w:val="left"/>
        </w:tabs>
        <w:numPr>
          <w:ilvl w:val="0"/>
          <w:numId w:val="72"/>
        </w:numPr>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Form of Indemnification Agreement entered into by and between the Registrant and each director and executive officer</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(incorporated by reference to Exhibit 10.1 to the Company’s Registration Statement on Form F-1 (File No. 333-257603) filed with the SEC on</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July 19, 2021). See Item 6, “</w:t>
        </w:r>
        <w:r>
          <w:rPr>
            <w:rFonts w:ascii="Arial" w:cs="Arial" w:eastAsia="Arial" w:hAnsi="Arial"/>
            <w:sz w:val="18"/>
            <w:szCs w:val="18"/>
            <w:i w:val="1"/>
            <w:iCs w:val="1"/>
            <w:u w:val="single" w:color="auto"/>
            <w:color w:val="0000FF"/>
          </w:rPr>
          <w:t>Directors, Senior Management and Employees</w:t>
        </w:r>
        <w:r>
          <w:rPr>
            <w:rFonts w:ascii="Arial" w:cs="Arial" w:eastAsia="Arial" w:hAnsi="Arial"/>
            <w:sz w:val="18"/>
            <w:szCs w:val="18"/>
            <w:u w:val="single" w:color="auto"/>
            <w:color w:val="0000FF"/>
          </w:rPr>
          <w:t>” for more information about this document.</w:t>
        </w:r>
      </w:hyperlink>
    </w:p>
    <w:p>
      <w:pPr>
        <w:spacing w:after="0" w:line="153" w:lineRule="exact"/>
        <w:rPr>
          <w:rFonts w:ascii="Arial" w:cs="Arial" w:eastAsia="Arial" w:hAnsi="Arial"/>
          <w:sz w:val="18"/>
          <w:szCs w:val="18"/>
          <w:u w:val="single" w:color="auto"/>
          <w:color w:val="0000FF"/>
        </w:rPr>
      </w:pPr>
    </w:p>
    <w:p>
      <w:pPr>
        <w:ind w:firstLine="324"/>
        <w:spacing w:after="0" w:line="248" w:lineRule="auto"/>
        <w:tabs>
          <w:tab w:leader="none" w:pos="883" w:val="left"/>
        </w:tabs>
        <w:numPr>
          <w:ilvl w:val="0"/>
          <w:numId w:val="72"/>
        </w:numPr>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Amended and Restated 2013 Equity Incentive Plan (incorporated by reference to Exhibit 10.2 to the Company’s Registration</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Statement on Form F-1 (File No. 333-257603) filed with the SEC on July 1, 2021). See Item 6, “</w:t>
        </w:r>
        <w:r>
          <w:rPr>
            <w:rFonts w:ascii="Arial" w:cs="Arial" w:eastAsia="Arial" w:hAnsi="Arial"/>
            <w:sz w:val="18"/>
            <w:szCs w:val="18"/>
            <w:i w:val="1"/>
            <w:iCs w:val="1"/>
            <w:u w:val="single" w:color="auto"/>
            <w:color w:val="0000FF"/>
          </w:rPr>
          <w:t>Directors, Senior Management and Employees</w:t>
        </w:r>
        <w:r>
          <w:rPr>
            <w:rFonts w:ascii="Arial" w:cs="Arial" w:eastAsia="Arial" w:hAnsi="Arial"/>
            <w:sz w:val="18"/>
            <w:szCs w:val="18"/>
            <w:u w:val="single" w:color="auto"/>
            <w:color w:val="0000FF"/>
          </w:rPr>
          <w:t>”</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for more information about this document.</w:t>
        </w:r>
      </w:hyperlink>
    </w:p>
    <w:p>
      <w:pPr>
        <w:spacing w:after="0" w:line="153" w:lineRule="exact"/>
        <w:rPr>
          <w:rFonts w:ascii="Arial" w:cs="Arial" w:eastAsia="Arial" w:hAnsi="Arial"/>
          <w:sz w:val="18"/>
          <w:szCs w:val="18"/>
          <w:u w:val="single" w:color="auto"/>
          <w:color w:val="0000FF"/>
        </w:rPr>
      </w:pPr>
    </w:p>
    <w:p>
      <w:pPr>
        <w:ind w:right="480" w:firstLine="324"/>
        <w:spacing w:after="0" w:line="248" w:lineRule="auto"/>
        <w:tabs>
          <w:tab w:leader="none" w:pos="883" w:val="left"/>
        </w:tabs>
        <w:numPr>
          <w:ilvl w:val="0"/>
          <w:numId w:val="72"/>
        </w:numPr>
        <w:rPr>
          <w:rFonts w:ascii="Arial" w:cs="Arial" w:eastAsia="Arial" w:hAnsi="Arial"/>
          <w:sz w:val="18"/>
          <w:szCs w:val="18"/>
          <w:i w:val="1"/>
          <w:iCs w:val="1"/>
          <w:u w:val="single" w:color="auto"/>
          <w:color w:val="0000FF"/>
        </w:rPr>
      </w:pPr>
      <w:hyperlink r:id="rId130">
        <w:r>
          <w:rPr>
            <w:rFonts w:ascii="Arial" w:cs="Arial" w:eastAsia="Arial" w:hAnsi="Arial"/>
            <w:sz w:val="18"/>
            <w:szCs w:val="18"/>
            <w:u w:val="single" w:color="auto"/>
            <w:color w:val="0000FF"/>
          </w:rPr>
          <w:t>Amended and Restated U.S. Sub-Plan to the 2013 Equity Incentive Plan (incorporated by reference to Exhibit 10.3 to the</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Company’s Registration Statement on Form F-1 (File No. 333-257603) filed with the SEC on July 1, 2021). See Item 6, “</w:t>
        </w:r>
        <w:r>
          <w:rPr>
            <w:rFonts w:ascii="Arial" w:cs="Arial" w:eastAsia="Arial" w:hAnsi="Arial"/>
            <w:sz w:val="18"/>
            <w:szCs w:val="18"/>
            <w:i w:val="1"/>
            <w:iCs w:val="1"/>
            <w:u w:val="single" w:color="auto"/>
            <w:color w:val="0000FF"/>
          </w:rPr>
          <w:t>Directors, Senior</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i w:val="1"/>
            <w:iCs w:val="1"/>
            <w:u w:val="single" w:color="auto"/>
            <w:color w:val="0000FF"/>
          </w:rPr>
          <w:t>Management and Employees</w:t>
        </w:r>
        <w:r>
          <w:rPr>
            <w:rFonts w:ascii="Arial" w:cs="Arial" w:eastAsia="Arial" w:hAnsi="Arial"/>
            <w:sz w:val="18"/>
            <w:szCs w:val="18"/>
            <w:u w:val="single" w:color="auto"/>
            <w:color w:val="0000FF"/>
          </w:rPr>
          <w:t>” for more information about this document.</w:t>
        </w:r>
      </w:hyperlink>
    </w:p>
    <w:p>
      <w:pPr>
        <w:spacing w:after="0" w:line="153" w:lineRule="exact"/>
        <w:rPr>
          <w:rFonts w:ascii="Arial" w:cs="Arial" w:eastAsia="Arial" w:hAnsi="Arial"/>
          <w:sz w:val="18"/>
          <w:szCs w:val="18"/>
          <w:i w:val="1"/>
          <w:iCs w:val="1"/>
          <w:u w:val="single" w:color="auto"/>
          <w:color w:val="0000FF"/>
        </w:rPr>
      </w:pPr>
    </w:p>
    <w:p>
      <w:pPr>
        <w:ind w:right="100" w:firstLine="324"/>
        <w:spacing w:after="0" w:line="248" w:lineRule="auto"/>
        <w:tabs>
          <w:tab w:leader="none" w:pos="883" w:val="left"/>
        </w:tabs>
        <w:numPr>
          <w:ilvl w:val="0"/>
          <w:numId w:val="72"/>
        </w:numPr>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2021 Share Incentive Plan (incorporated by reference to Exhibit 10.4 to the Company’s Registration Statement on Form F-1 (File</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No. 333-257603)</w:t>
        </w:r>
        <w:r>
          <w:rPr>
            <w:rFonts w:ascii="Arial" w:cs="Arial" w:eastAsia="Arial" w:hAnsi="Arial"/>
            <w:sz w:val="18"/>
            <w:szCs w:val="18"/>
            <w:color w:val="0000FF"/>
          </w:rPr>
          <w:t xml:space="preserve"> filed with the SEC on July 19, 2021). See Item 6 “</w:t>
        </w:r>
        <w:r>
          <w:rPr>
            <w:rFonts w:ascii="Arial" w:cs="Arial" w:eastAsia="Arial" w:hAnsi="Arial"/>
            <w:sz w:val="18"/>
            <w:szCs w:val="18"/>
            <w:i w:val="1"/>
            <w:iCs w:val="1"/>
            <w:u w:val="single" w:color="auto"/>
            <w:color w:val="0000FF"/>
          </w:rPr>
          <w:t>Directors, Senior Management and Employees</w:t>
        </w:r>
        <w:r>
          <w:rPr>
            <w:rFonts w:ascii="Arial" w:cs="Arial" w:eastAsia="Arial" w:hAnsi="Arial"/>
            <w:sz w:val="18"/>
            <w:szCs w:val="18"/>
            <w:u w:val="single" w:color="auto"/>
            <w:color w:val="0000FF"/>
          </w:rPr>
          <w:t>” for more information about</w:t>
        </w:r>
      </w:hyperlink>
      <w:r>
        <w:rPr>
          <w:rFonts w:ascii="Arial" w:cs="Arial" w:eastAsia="Arial" w:hAnsi="Arial"/>
          <w:sz w:val="18"/>
          <w:szCs w:val="18"/>
          <w:color w:val="0000FF"/>
        </w:rPr>
        <w:t xml:space="preserve"> </w:t>
      </w:r>
      <w:hyperlink r:id="rId131">
        <w:r>
          <w:rPr>
            <w:rFonts w:ascii="Arial" w:cs="Arial" w:eastAsia="Arial" w:hAnsi="Arial"/>
            <w:sz w:val="18"/>
            <w:szCs w:val="18"/>
            <w:u w:val="single" w:color="auto"/>
            <w:color w:val="0000FF"/>
          </w:rPr>
          <w:t>this document.</w:t>
        </w:r>
      </w:hyperlink>
    </w:p>
    <w:p>
      <w:pPr>
        <w:spacing w:after="0" w:line="153" w:lineRule="exact"/>
        <w:rPr>
          <w:rFonts w:ascii="Arial" w:cs="Arial" w:eastAsia="Arial" w:hAnsi="Arial"/>
          <w:sz w:val="18"/>
          <w:szCs w:val="18"/>
          <w:u w:val="single" w:color="auto"/>
          <w:color w:val="0000FF"/>
        </w:rPr>
      </w:pPr>
    </w:p>
    <w:p>
      <w:pPr>
        <w:ind w:right="100" w:firstLine="324"/>
        <w:spacing w:after="0" w:line="248" w:lineRule="auto"/>
        <w:tabs>
          <w:tab w:leader="none" w:pos="883" w:val="left"/>
        </w:tabs>
        <w:numPr>
          <w:ilvl w:val="0"/>
          <w:numId w:val="72"/>
        </w:numPr>
        <w:rPr>
          <w:rFonts w:ascii="Arial" w:cs="Arial" w:eastAsia="Arial" w:hAnsi="Arial"/>
          <w:sz w:val="18"/>
          <w:szCs w:val="18"/>
          <w:i w:val="1"/>
          <w:iCs w:val="1"/>
          <w:u w:val="single" w:color="auto"/>
          <w:color w:val="0000FF"/>
        </w:rPr>
      </w:pPr>
      <w:hyperlink r:id="rId132">
        <w:r>
          <w:rPr>
            <w:rFonts w:ascii="Arial" w:cs="Arial" w:eastAsia="Arial" w:hAnsi="Arial"/>
            <w:sz w:val="18"/>
            <w:szCs w:val="18"/>
            <w:u w:val="single" w:color="auto"/>
            <w:color w:val="0000FF"/>
          </w:rPr>
          <w:t>Compensation Policy for Executive Officers and Directors (incorporated by reference to Exhibit 10.5 to the Company’s Registration</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Statement on Form F-1 (File No. 333-257603) filed with the SEC on July 19, 2021). See Item 6, “</w:t>
        </w:r>
        <w:r>
          <w:rPr>
            <w:rFonts w:ascii="Arial" w:cs="Arial" w:eastAsia="Arial" w:hAnsi="Arial"/>
            <w:sz w:val="18"/>
            <w:szCs w:val="18"/>
            <w:i w:val="1"/>
            <w:iCs w:val="1"/>
            <w:u w:val="single" w:color="auto"/>
            <w:color w:val="0000FF"/>
          </w:rPr>
          <w:t>Directors, Senior Management and</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i w:val="1"/>
            <w:iCs w:val="1"/>
            <w:u w:val="single" w:color="auto"/>
            <w:color w:val="0000FF"/>
          </w:rPr>
          <w:t>Employees</w:t>
        </w:r>
        <w:r>
          <w:rPr>
            <w:rFonts w:ascii="Arial" w:cs="Arial" w:eastAsia="Arial" w:hAnsi="Arial"/>
            <w:sz w:val="18"/>
            <w:szCs w:val="18"/>
            <w:u w:val="single" w:color="auto"/>
            <w:color w:val="0000FF"/>
          </w:rPr>
          <w:t>” for more information about this document.</w:t>
        </w:r>
      </w:hyperlink>
    </w:p>
    <w:p>
      <w:pPr>
        <w:spacing w:after="0" w:line="153" w:lineRule="exact"/>
        <w:rPr>
          <w:rFonts w:ascii="Arial" w:cs="Arial" w:eastAsia="Arial" w:hAnsi="Arial"/>
          <w:sz w:val="18"/>
          <w:szCs w:val="18"/>
          <w:i w:val="1"/>
          <w:iCs w:val="1"/>
          <w:u w:val="single" w:color="auto"/>
          <w:color w:val="0000FF"/>
        </w:rPr>
      </w:pPr>
    </w:p>
    <w:p>
      <w:pPr>
        <w:ind w:right="80" w:firstLine="324"/>
        <w:spacing w:after="0" w:line="248" w:lineRule="auto"/>
        <w:tabs>
          <w:tab w:leader="none" w:pos="883" w:val="left"/>
        </w:tabs>
        <w:numPr>
          <w:ilvl w:val="0"/>
          <w:numId w:val="72"/>
        </w:numPr>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2021 Employee Share Purchase Plan (incorporated by reference to Exhibit 10.6 to the Company’s Registration Statement on Form</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F-1 (File No. 333-257603) filed with the SEC on July 19, 2021). See Item 6, “</w:t>
        </w:r>
        <w:r>
          <w:rPr>
            <w:rFonts w:ascii="Arial" w:cs="Arial" w:eastAsia="Arial" w:hAnsi="Arial"/>
            <w:sz w:val="18"/>
            <w:szCs w:val="18"/>
            <w:i w:val="1"/>
            <w:iCs w:val="1"/>
            <w:u w:val="single" w:color="auto"/>
            <w:color w:val="0000FF"/>
          </w:rPr>
          <w:t>Directors, Senior Management and Employees</w:t>
        </w:r>
        <w:r>
          <w:rPr>
            <w:rFonts w:ascii="Arial" w:cs="Arial" w:eastAsia="Arial" w:hAnsi="Arial"/>
            <w:sz w:val="18"/>
            <w:szCs w:val="18"/>
            <w:u w:val="single" w:color="auto"/>
            <w:color w:val="0000FF"/>
          </w:rPr>
          <w:t>” for more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information about this document.</w:t>
        </w:r>
      </w:hyperlink>
    </w:p>
    <w:p>
      <w:pPr>
        <w:spacing w:after="0" w:line="153" w:lineRule="exact"/>
        <w:rPr>
          <w:rFonts w:ascii="Arial" w:cs="Arial" w:eastAsia="Arial" w:hAnsi="Arial"/>
          <w:sz w:val="18"/>
          <w:szCs w:val="18"/>
          <w:u w:val="single" w:color="auto"/>
          <w:color w:val="0000FF"/>
        </w:rPr>
      </w:pPr>
    </w:p>
    <w:p>
      <w:pPr>
        <w:ind w:right="20" w:firstLine="324"/>
        <w:spacing w:after="0" w:line="247" w:lineRule="auto"/>
        <w:tabs>
          <w:tab w:leader="none" w:pos="883" w:val="left"/>
        </w:tabs>
        <w:numPr>
          <w:ilvl w:val="0"/>
          <w:numId w:val="72"/>
        </w:numPr>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2021 Amended and Restated Investors’ Rights Agreement dated as of July 18, 2021, by and among the Registrant and the parties</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named in Schedule A thereto (incorporated by reference to Exhibit 4.2 to the Company’s Registration Statement on Form F-1 (File No. 333-</w:t>
        </w:r>
      </w:hyperlink>
      <w:hyperlink r:id="rId134">
        <w:r>
          <w:rPr>
            <w:rFonts w:ascii="Arial" w:cs="Arial" w:eastAsia="Arial" w:hAnsi="Arial"/>
            <w:sz w:val="18"/>
            <w:szCs w:val="18"/>
            <w:u w:val="single" w:color="auto"/>
            <w:color w:val="0000FF"/>
          </w:rPr>
          <w:t>257603) filed with the SEC on July 19, 2021). See Item 7.B. “</w:t>
        </w:r>
        <w:r>
          <w:rPr>
            <w:rFonts w:ascii="Arial" w:cs="Arial" w:eastAsia="Arial" w:hAnsi="Arial"/>
            <w:sz w:val="18"/>
            <w:szCs w:val="18"/>
            <w:i w:val="1"/>
            <w:iCs w:val="1"/>
            <w:u w:val="single" w:color="auto"/>
            <w:color w:val="0000FF"/>
          </w:rPr>
          <w:t>Related Party Transactions — Registration Rights</w:t>
        </w:r>
        <w:r>
          <w:rPr>
            <w:rFonts w:ascii="Arial" w:cs="Arial" w:eastAsia="Arial" w:hAnsi="Arial"/>
            <w:sz w:val="18"/>
            <w:szCs w:val="18"/>
            <w:u w:val="single" w:color="auto"/>
            <w:color w:val="0000FF"/>
          </w:rPr>
          <w:t>” for more information about this</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document.</w:t>
        </w:r>
      </w:hyperlink>
    </w:p>
    <w:p>
      <w:pPr>
        <w:spacing w:after="0" w:line="154" w:lineRule="exact"/>
        <w:rPr>
          <w:rFonts w:ascii="Arial" w:cs="Arial" w:eastAsia="Arial" w:hAnsi="Arial"/>
          <w:sz w:val="18"/>
          <w:szCs w:val="18"/>
          <w:u w:val="single" w:color="auto"/>
          <w:color w:val="0000FF"/>
        </w:rPr>
      </w:pPr>
    </w:p>
    <w:p>
      <w:pPr>
        <w:ind w:right="280" w:firstLine="324"/>
        <w:spacing w:after="0" w:line="248" w:lineRule="auto"/>
        <w:tabs>
          <w:tab w:leader="none" w:pos="883" w:val="left"/>
        </w:tabs>
        <w:numPr>
          <w:ilvl w:val="0"/>
          <w:numId w:val="72"/>
        </w:numPr>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 xml:space="preserve">Share Purchase Warrant issued to </w:t>
        </w:r>
      </w:hyperlink>
      <w:r>
        <w:rPr>
          <w:rFonts w:ascii="Arial" w:cs="Arial" w:eastAsia="Arial" w:hAnsi="Arial"/>
          <w:sz w:val="18"/>
          <w:szCs w:val="18"/>
          <w:u w:val="single" w:color="auto"/>
          <w:color w:val="0000FF"/>
        </w:rPr>
        <w:t xml:space="preserve">Wayfair </w:t>
      </w:r>
      <w:hyperlink r:id="rId135">
        <w:r>
          <w:rPr>
            <w:rFonts w:ascii="Arial" w:cs="Arial" w:eastAsia="Arial" w:hAnsi="Arial"/>
            <w:sz w:val="18"/>
            <w:szCs w:val="18"/>
            <w:u w:val="single" w:color="auto"/>
            <w:color w:val="0000FF"/>
          </w:rPr>
          <w:t>LLC, dated as of June 21, 2021, by and between the Registrant and Wayfair LLC</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(incorporated by reference to Exhibit 4.5 to the Company’s Registration Statement on Form F-1 (File No. 333-257603) filed with the SEC on</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July 1, 2021). See Item 7.B. “</w:t>
        </w:r>
        <w:r>
          <w:rPr>
            <w:rFonts w:ascii="Arial" w:cs="Arial" w:eastAsia="Arial" w:hAnsi="Arial"/>
            <w:sz w:val="18"/>
            <w:szCs w:val="18"/>
            <w:i w:val="1"/>
            <w:iCs w:val="1"/>
            <w:u w:val="single" w:color="auto"/>
            <w:color w:val="0000FF"/>
          </w:rPr>
          <w:t>Related Party Transactions — Warrant Agreement</w:t>
        </w:r>
        <w:r>
          <w:rPr>
            <w:rFonts w:ascii="Arial" w:cs="Arial" w:eastAsia="Arial" w:hAnsi="Arial"/>
            <w:sz w:val="18"/>
            <w:szCs w:val="18"/>
            <w:u w:val="single" w:color="auto"/>
            <w:color w:val="0000FF"/>
          </w:rPr>
          <w:t>” for more information about this document.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845185</wp:posOffset>
            </wp:positionH>
            <wp:positionV relativeFrom="paragraph">
              <wp:posOffset>-2316480</wp:posOffset>
            </wp:positionV>
            <wp:extent cx="24809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4"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89" w:right="399" w:bottom="1440" w:gutter="0" w:footer="0" w:header="0"/>
        </w:sectPr>
      </w:pPr>
    </w:p>
    <w:bookmarkStart w:id="113" w:name="page114"/>
    <w:bookmarkEnd w:id="113"/>
    <w:p>
      <w:pPr>
        <w:ind w:left="320"/>
        <w:spacing w:after="0"/>
        <w:rPr>
          <w:sz w:val="20"/>
          <w:szCs w:val="20"/>
          <w:color w:val="auto"/>
        </w:rPr>
      </w:pPr>
      <w:r>
        <w:rPr>
          <w:rFonts w:ascii="Arial" w:cs="Arial" w:eastAsia="Arial" w:hAnsi="Arial"/>
          <w:sz w:val="18"/>
          <w:szCs w:val="18"/>
          <w:b w:val="1"/>
          <w:bCs w:val="1"/>
          <w:color w:val="auto"/>
        </w:rPr>
        <w:t>D. Exchange Controls</w:t>
      </w:r>
    </w:p>
    <w:p>
      <w:pPr>
        <w:spacing w:after="0" w:line="18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 Taxation</w:t>
      </w:r>
    </w:p>
    <w:p>
      <w:pPr>
        <w:spacing w:after="0" w:line="18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Class A ordinary shares. You should consult your own tax advisor concerning the tax consequences of your particular situation, as well as any tax consequences that may arise under the laws of any state, local, foreign or other taxing jurisdiction.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186"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following is a brief summary of the material Israeli tax laws applicable to us. This section also contains a discussion of material Israeli tax consequences concerning the ownership and disposition of our Class A ordinary shares purchased or held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186"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Israeli companies are generally subject to corporate tax. The current corporate tax rate is 23%. Capital gains derived by an Israeli company are generally subject to the prevailing corporate tax rate.</w:t>
      </w:r>
    </w:p>
    <w:p>
      <w:pPr>
        <w:spacing w:after="0" w:line="150"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Notwithstanding the aforementioned, the effective tax rate payable by a company that derives income from a “Preferred Enterprise”, a “Special Preferred Enterprise”, a “Preferred Technology Enterprise” or a “Special Preferred Technology Enterprise” as further discussed below, may be considerably lower. See “Law for the Encouragement of Capital Investments” in this Item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and Grants for Research and Development</w:t>
      </w:r>
    </w:p>
    <w:p>
      <w:pPr>
        <w:spacing w:after="0" w:line="186" w:lineRule="exact"/>
        <w:rPr>
          <w:sz w:val="20"/>
          <w:szCs w:val="20"/>
          <w:color w:val="auto"/>
        </w:rPr>
      </w:pPr>
    </w:p>
    <w:p>
      <w:pPr>
        <w:ind w:firstLine="318"/>
        <w:spacing w:after="0" w:line="280" w:lineRule="auto"/>
        <w:rPr>
          <w:sz w:val="20"/>
          <w:szCs w:val="20"/>
          <w:color w:val="auto"/>
        </w:rPr>
      </w:pPr>
      <w:r>
        <w:rPr>
          <w:rFonts w:ascii="Arial" w:cs="Arial" w:eastAsia="Arial" w:hAnsi="Arial"/>
          <w:sz w:val="17"/>
          <w:szCs w:val="17"/>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27" w:lineRule="exact"/>
        <w:rPr>
          <w:sz w:val="20"/>
          <w:szCs w:val="20"/>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164"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14" w:name="page115"/>
    <w:bookmarkEnd w:id="114"/>
    <w:p>
      <w:pPr>
        <w:ind w:right="440"/>
        <w:spacing w:after="0" w:line="251" w:lineRule="auto"/>
        <w:rPr>
          <w:sz w:val="20"/>
          <w:szCs w:val="20"/>
          <w:color w:val="auto"/>
        </w:rPr>
      </w:pPr>
      <w:r>
        <w:rPr>
          <w:rFonts w:ascii="Arial" w:cs="Arial" w:eastAsia="Arial" w:hAnsi="Arial"/>
          <w:sz w:val="18"/>
          <w:szCs w:val="18"/>
          <w:color w:val="auto"/>
        </w:rPr>
        <w:t>depreciable under the general depreciation rules of the Israeli Income Tax Ordinance (New Version), 5721-1961. Expenditures that do not qualify for this special deduction are deductible in equal amounts over three years.</w:t>
      </w:r>
    </w:p>
    <w:p>
      <w:pPr>
        <w:spacing w:after="0" w:line="150"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From time to time we may apply to the Israel Innovation Authority for approval to allow a tax deduction for all research and development expenses during the year incurred. There can be no assurance that such request will be granted.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Law for the Encouragement of Capital Investments, 5719-1959, or the Investment Law, provides certain incentives for capital investment in a production facility (or other eligible assets). Generally, an investment program that is implemented in accordance with the provisions of the Investment Law, is entitled to benefits. These benefits may include cash grants from the Israeli government and tax benefits, based upon, among other things, the geographic location in Israel of the facility in which the investment is made.</w:t>
      </w:r>
    </w:p>
    <w:p>
      <w:pPr>
        <w:spacing w:after="0" w:line="155"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The Investment Law has been amended several times over the recent years, with the most significant changes effective as of January 1, 2011, or the 2011 Amendment, and as of January 1, 2017, or the 2017 Amendment. The 2011 Amendment introduced new benefits instead of the benefits granted in accordance with the provisions of the Investment Law prior to the 2011 Amendment. However, companies entitled to benefits under the Investment Law as in effect up to January 1, 2011 were entitled to choose to continue to enjoy such benefits, provided that certain conditions are met, or elect instead, irrevocably, to forego such benefits and elect the benefits of the 2011 Amendment. The 2017 Amendment introduces new benefits for Technological Enterprises, alongside the existing tax benefits.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Technological Enterprise Incentives Regime—the 2017 Amendment</w:t>
      </w:r>
    </w:p>
    <w:p>
      <w:pPr>
        <w:spacing w:after="0" w:line="186"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The 2017 Amendment provides new tax benefits for two types of “Technology Enterprises”, as described below, and is in addition to the other existing tax beneficial programs under the Investment Law.</w:t>
      </w:r>
    </w:p>
    <w:p>
      <w:pPr>
        <w:spacing w:after="0" w:line="15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new incentives regime will apply to “Preferred Technology Enterprises,” or PTE, that meet certain conditions, including: (1) the R&amp;D expenses in the three years preceding the tax year were at least 7% on average of one year out of the company’s turnover or exceeded NIS 75 million for a year; and (2) one of the following: (a) at least 20% of the workforce (or at least 200 employees) are employees whose full salary has been paid and reported in the company’s financial statements as R&amp;D; (b) a venture capital investment approximately equivalent to at least NIS 8 million was previously made in the company and the company did not change its line of business subsequent to such investment; (c) growth in sales by an average of 25% or more over the three years preceding the tax year, provided that the turnover was at least NIS 10 million, in the tax year and in each of the preceding three years; or (d) growth in workforce by an average of 25% or more over the three years preceding the tax year, provided that the company employed at least 50 employees, in the tax year and in each of the preceding three years.</w:t>
      </w:r>
    </w:p>
    <w:p>
      <w:pPr>
        <w:spacing w:after="0" w:line="141" w:lineRule="exact"/>
        <w:rPr>
          <w:sz w:val="20"/>
          <w:szCs w:val="20"/>
          <w:color w:val="auto"/>
        </w:rPr>
      </w:pPr>
    </w:p>
    <w:p>
      <w:pPr>
        <w:ind w:right="720" w:firstLine="318"/>
        <w:spacing w:after="0" w:line="251" w:lineRule="auto"/>
        <w:rPr>
          <w:sz w:val="20"/>
          <w:szCs w:val="20"/>
          <w:color w:val="auto"/>
        </w:rPr>
      </w:pPr>
      <w:r>
        <w:rPr>
          <w:rFonts w:ascii="Arial" w:cs="Arial" w:eastAsia="Arial" w:hAnsi="Arial"/>
          <w:sz w:val="18"/>
          <w:szCs w:val="18"/>
          <w:color w:val="auto"/>
        </w:rPr>
        <w:t>A “Special Preferred Technology Enterprise” is an enterprise that meets conditions 1 and 2 above, and in addition has total annual consolidated revenues above NIS 10 billion.</w:t>
      </w:r>
    </w:p>
    <w:p>
      <w:pPr>
        <w:spacing w:after="0" w:line="150"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PTE will be subject to a reduced corporate tax rate of 12% on their income that qualifies as “Preferred Technology Income”, as defined in the Investment Law. The tax rate is further reduced to 7.5% for a Preferred Technology Enterprise located in development zone A. These corporate tax rates shall apply only with respect to the portion of income attributed to the intellectual property developed in Israel. In addition, a Preferred Technology Company will enjoy a reduced corporate tax rate of 12% on capital gain derived from the sale of certain “Benefited Intangible Assets” (as defined in the Investment Law) to a related foreign company if the Benefited Intangible Assets were acquired from a foreign company on or after January 1, 2017 for at least NIS 200 million, and the sale receives prior approval from the Israel Innovation Authority (previously known as the Israeli Office of the Chief Scientist), or IIA.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115" w:name="page116"/>
    <w:bookmarkEnd w:id="115"/>
    <w:p>
      <w:pPr>
        <w:ind w:right="140"/>
        <w:spacing w:after="0" w:line="264" w:lineRule="auto"/>
        <w:rPr>
          <w:sz w:val="20"/>
          <w:szCs w:val="20"/>
          <w:color w:val="auto"/>
        </w:rPr>
      </w:pPr>
      <w:r>
        <w:rPr>
          <w:rFonts w:ascii="Arial" w:cs="Arial" w:eastAsia="Arial" w:hAnsi="Arial"/>
          <w:sz w:val="17"/>
          <w:szCs w:val="17"/>
          <w:color w:val="auto"/>
        </w:rPr>
        <w:t>Preferred Technology Enterprises will be subject to 6% on “Preferred Technology Income” regardless of the company’s geographic location within Israel. In addition, a Special Preferred Technology Enterprise will enjoy a reduced corporate tax rate of 6% on capital gain derived from the sale of certain “Benefited Intangible Assets” to a related foreign company if the Benefited Intangible Assets were either developed by the Special Preferred Enterprise or acquired from a foreign company on or after January 1, 2017, and the sale received prior approval from IIA. A Special Preferred Technology Enterprise that acquires Benefited Intangible Assets from a foreign company for more than NIS 500 million, will be eligible for these benefits for at least ten years, subject to certain approvals as specified in the Investment Law.</w:t>
      </w:r>
    </w:p>
    <w:p>
      <w:pPr>
        <w:spacing w:after="0" w:line="141"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Dividends distributed to Israeli shareholders by a PTE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to individuals or a non-Israeli company, withholding tax at a rate of 20% or such lower rate as may be provided in an applicable tax treaty, will apply). If such dividends are distributed to a parent non-Israeli company holding, solely or together with other non-Israeli companies, at least 90% of the shares of the distributing company and other conditions are met, the withholding tax rate will be 4% (or a lower rate under a tax treaty, if applicable, subject to the receipt in advance of a valid certificate from the ITA allowing for a reduced tax rate).</w:t>
      </w:r>
    </w:p>
    <w:p>
      <w:pPr>
        <w:spacing w:after="0" w:line="141"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Currently, the Company has not exhausted the tax benefits that it might be eligible for as a Preferred Technology Enterprise or a Special Preferred Technology Enterprise under the 2017 Amendment.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Taxes</w:t>
      </w:r>
    </w:p>
    <w:p>
      <w:pPr>
        <w:spacing w:after="0" w:line="186"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Israeli capital gains tax is imposed on the disposition of capital assets by an Israeli resident and on the disposition of such assets by a non-Israeli resident if those assets are either (i) located in Israel, (ii)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with respect to our shares purchased after being listed is currently not subject to tax in Israel. Real Capital Gain is the excess of the total capital gain over the Inflationary Surplus. Generally, Real Capital Gain accrued by individuals on the sale of our ordinary shares will be taxed at the rate of 25%. However, if the shareholder is a “substantial shareholder” at the time of sale or at any time during the preceding 12-month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2022).</w:t>
      </w:r>
    </w:p>
    <w:p>
      <w:pPr>
        <w:spacing w:after="0" w:line="151"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Individual and non-corporate shareholders dealing in securities in Israel are taxed at the tax rates applicable to business income - 23% for corporations in 2022 and a marginal tax rate of up to 47% for an individual in 2022 unless the benefiting provisions of an applicable treaty applies.</w:t>
      </w:r>
    </w:p>
    <w:p>
      <w:pPr>
        <w:spacing w:after="0" w:line="153"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A non-Israeli resident who derives capital gains from the sale of shares of an Israeli resident company that were purchased after the company was listed for trading on a stock exchange outside of Israel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11" w:right="419" w:bottom="1440" w:gutter="0" w:footer="0" w:header="0"/>
        </w:sectPr>
      </w:pPr>
    </w:p>
    <w:bookmarkStart w:id="116" w:name="page117"/>
    <w:bookmarkEnd w:id="116"/>
    <w:p>
      <w:pPr>
        <w:ind w:right="100"/>
        <w:spacing w:after="0" w:line="247" w:lineRule="auto"/>
        <w:rPr>
          <w:sz w:val="20"/>
          <w:szCs w:val="20"/>
          <w:color w:val="auto"/>
        </w:rPr>
      </w:pPr>
      <w:r>
        <w:rPr>
          <w:rFonts w:ascii="Arial" w:cs="Arial" w:eastAsia="Arial" w:hAnsi="Arial"/>
          <w:sz w:val="18"/>
          <w:szCs w:val="18"/>
          <w:color w:val="auto"/>
        </w:rPr>
        <w:t>generally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spacing w:after="0" w:line="155" w:lineRule="exact"/>
        <w:rPr>
          <w:sz w:val="20"/>
          <w:szCs w:val="20"/>
          <w:color w:val="auto"/>
        </w:rPr>
      </w:pPr>
    </w:p>
    <w:p>
      <w:pPr>
        <w:ind w:right="480" w:firstLine="318"/>
        <w:spacing w:after="0" w:line="251" w:lineRule="auto"/>
        <w:rPr>
          <w:sz w:val="20"/>
          <w:szCs w:val="20"/>
          <w:color w:val="auto"/>
        </w:rPr>
      </w:pPr>
      <w:r>
        <w:rPr>
          <w:rFonts w:ascii="Arial" w:cs="Arial" w:eastAsia="Arial" w:hAnsi="Arial"/>
          <w:sz w:val="18"/>
          <w:szCs w:val="18"/>
          <w:color w:val="auto"/>
        </w:rPr>
        <w:t>In addition, such exemption is not applicable to a person whose gains from selling or disposing the shares are deemed to be business income.</w:t>
      </w:r>
    </w:p>
    <w:p>
      <w:pPr>
        <w:spacing w:after="0" w:line="150" w:lineRule="exact"/>
        <w:rPr>
          <w:sz w:val="20"/>
          <w:szCs w:val="20"/>
          <w:color w:val="auto"/>
        </w:rPr>
      </w:pPr>
    </w:p>
    <w:p>
      <w:pPr>
        <w:ind w:firstLine="318"/>
        <w:spacing w:after="0" w:line="260" w:lineRule="auto"/>
        <w:rPr>
          <w:sz w:val="20"/>
          <w:szCs w:val="20"/>
          <w:color w:val="auto"/>
        </w:rPr>
      </w:pPr>
      <w:r>
        <w:rPr>
          <w:rFonts w:ascii="Arial" w:cs="Arial" w:eastAsia="Arial" w:hAnsi="Arial"/>
          <w:sz w:val="17"/>
          <w:szCs w:val="17"/>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or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or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w:t>
      </w:r>
    </w:p>
    <w:p>
      <w:pPr>
        <w:spacing w:after="0" w:line="2" w:lineRule="exact"/>
        <w:rPr>
          <w:sz w:val="20"/>
          <w:szCs w:val="20"/>
          <w:color w:val="auto"/>
        </w:rPr>
      </w:pPr>
    </w:p>
    <w:p>
      <w:pPr>
        <w:ind w:right="40" w:firstLine="6"/>
        <w:spacing w:after="0" w:line="247"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154"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Regardless of whether non-Israeli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on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on Receipt of Dividends</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Israeli residents who are individuals are generally subject to Israeli income tax on the receipt of dividends paid on our ordinary shares at the rate of 25%, or 30% if the recipient of such dividend is a “substantial shareholder” at the time of distribution or at any time during the preceding 12-month period. However, dividends distributed from taxable income accrued from Preferred Enterprise or Preferred Technology Enterprise to Israeli individuals are subject to withholding tax at the rate of 20%. However, if such dividends are distributed to an Israeli company, no withholding tax is imposed (although, if such dividends are subsequently distributed to individuals or a non-Israeli company, withholding tax at a rate of 20% will apply, or such lower rate as may be provided in an applicable tax treaty, subject to the receipt in advance of a valid certificate from the ITA allowing for a reduced tax rate). An average rate will be set in case the dividend is distributed from mixed types of income (regular and preferred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7" w:name="page118"/>
    <w:bookmarkEnd w:id="117"/>
    <w:p>
      <w:pPr>
        <w:ind w:right="160" w:firstLine="318"/>
        <w:spacing w:after="0" w:line="251" w:lineRule="auto"/>
        <w:rPr>
          <w:sz w:val="20"/>
          <w:szCs w:val="20"/>
          <w:color w:val="auto"/>
        </w:rPr>
      </w:pPr>
      <w:r>
        <w:rPr>
          <w:rFonts w:ascii="Arial" w:cs="Arial" w:eastAsia="Arial" w:hAnsi="Arial"/>
          <w:sz w:val="18"/>
          <w:szCs w:val="18"/>
          <w:color w:val="auto"/>
        </w:rPr>
        <w:t>Israeli resident corporations are generally exempt from Israeli corporate tax for dividends paid on shares of Israeli resident corporations to the extent such dividend is derived from income which was subject to the regular income tax rates.</w:t>
      </w:r>
    </w:p>
    <w:p>
      <w:pPr>
        <w:spacing w:after="0" w:line="15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Non-Israeli residents (whether individuals or corporations) are generally subject to Israeli income tax on the receipt of dividends paid on our ordinary shares at the rate of 25%,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 Dividends distributed from income attributed to a Preferred Enterprise or Technology Preferred Enterprise are subject to a reduced tax rate of 20% and the withholding from the payment to non-Israeli residents may be reduced to 20% subject to a withholding tax certificate from the Israeli tax authority providing so.</w:t>
      </w:r>
    </w:p>
    <w:p>
      <w:pPr>
        <w:spacing w:after="0" w:line="158"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and further provided that such income was not subject to certain corporate tax benefits under the Investment Law.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Surtax</w:t>
      </w:r>
    </w:p>
    <w:p>
      <w:pPr>
        <w:spacing w:after="0" w:line="186"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Subject to the provisions of an applicable tax treaty, individuals who are subject to income tax in Israel (whether any such individual is an Israeli resident or non-Israeli resident) are also subject to an additional tax at a rate of 3% on annual income (including, but not limited to, income derived from dividends, interest and capital gains) exceeding NIS 663,240 for 2022, which amount is linked to the annual change in the Israeli consumer price index.</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following summary describes certain United States federal income tax considerations generally applicable to United States Holders (as defined below) of our Class A ordinary shares. This summary deals only with our Class A ordinary shares held as capital assets within the meaning of Section 1221 of the Code. This summary also does not address the tax consequences that may be relevant to holders in special tax situations including, without limitation, dealers in securities, traders that elect to use a mark-to-market method of accounting, holders that own our Class A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the alternative minimum tax, holders that acquired our Class A ordinary shares in a compensatory transaction, holders which are entities or arrangements treated as partnerships for United States federal income tax purposes or holders that actually or constructively through attribution own 10% or more of the total voting power or value of our outstanding shares.</w:t>
      </w:r>
    </w:p>
    <w:p>
      <w:pPr>
        <w:spacing w:after="0" w:line="15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This summary is based upon the Code, applicable United States Treasury regulations, administrative pronouncements and judicial decisions, in each case as in effect on the date hereof, all of which are subject to change (possibly with retroactive effect). No ruling has been or will be requested from the Internal Revenue Service, or the IRS, regarding the tax consequences described herein, and there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118" w:name="page119"/>
    <w:bookmarkEnd w:id="118"/>
    <w:p>
      <w:pPr>
        <w:spacing w:after="0" w:line="248" w:lineRule="auto"/>
        <w:rPr>
          <w:sz w:val="20"/>
          <w:szCs w:val="20"/>
          <w:color w:val="auto"/>
        </w:rPr>
      </w:pPr>
      <w:r>
        <w:rPr>
          <w:rFonts w:ascii="Arial" w:cs="Arial" w:eastAsia="Arial" w:hAnsi="Arial"/>
          <w:sz w:val="18"/>
          <w:szCs w:val="18"/>
          <w:color w:val="auto"/>
        </w:rPr>
        <w:t>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spacing w:after="0" w:line="153" w:lineRule="exact"/>
        <w:rPr>
          <w:sz w:val="20"/>
          <w:szCs w:val="20"/>
          <w:color w:val="auto"/>
        </w:rPr>
      </w:pPr>
    </w:p>
    <w:p>
      <w:pPr>
        <w:jc w:val="both"/>
        <w:ind w:right="160" w:firstLine="318"/>
        <w:spacing w:after="0" w:line="264" w:lineRule="auto"/>
        <w:rPr>
          <w:sz w:val="20"/>
          <w:szCs w:val="20"/>
          <w:color w:val="auto"/>
        </w:rPr>
      </w:pPr>
      <w:r>
        <w:rPr>
          <w:rFonts w:ascii="Arial" w:cs="Arial" w:eastAsia="Arial" w:hAnsi="Arial"/>
          <w:sz w:val="17"/>
          <w:szCs w:val="17"/>
          <w:color w:val="auto"/>
        </w:rPr>
        <w:t>As used herein, the term “United States Holder” means a beneficial owner of our Class A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the Code Section 7701(a)(30), or (b) that has a valid election in effect under applicable United States Treasury regulations to be treated as a “United States person.”</w:t>
      </w:r>
    </w:p>
    <w:p>
      <w:pPr>
        <w:spacing w:after="0" w:line="141"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acquires our Class A ordinary shares, the tax treatment of a partner in the partnership generally will depend upon the status of the partner and the activities of the partnership. Such a partner or partnership should consult its tax advisors as to the particular United States federal income tax consequences of acquiring, owning, and disposing of our Class A ordinary shares in its particular circumstances.</w:t>
      </w:r>
    </w:p>
    <w:p>
      <w:pPr>
        <w:spacing w:after="0" w:line="133" w:lineRule="exact"/>
        <w:rPr>
          <w:sz w:val="20"/>
          <w:szCs w:val="20"/>
          <w:color w:val="auto"/>
        </w:rPr>
      </w:pPr>
    </w:p>
    <w:p>
      <w:pPr>
        <w:ind w:right="140" w:firstLine="318"/>
        <w:spacing w:after="0" w:line="256" w:lineRule="auto"/>
        <w:rPr>
          <w:sz w:val="20"/>
          <w:szCs w:val="20"/>
          <w:color w:val="auto"/>
        </w:rPr>
      </w:pPr>
      <w:r>
        <w:rPr>
          <w:rFonts w:ascii="Arial" w:cs="Arial" w:eastAsia="Arial" w:hAnsi="Arial"/>
          <w:sz w:val="18"/>
          <w:szCs w:val="18"/>
          <w:b w:val="1"/>
          <w:bCs w:val="1"/>
          <w:color w:val="auto"/>
        </w:rPr>
        <w:t>THE SUMMARY OF UNITED STATES FEDERAL INCOME TAX CONSEQUENCES SET OUT BELOW IS FOR GENERAL INFORMATION ONLY. UNITED STATES HOLDERS SHOULD CONSULT THEIR TAX ADVISORS AS TO THE PARTICULAR TAX CONSEQUENCES TO THEM OF OWNING AND DISPOSING OF OUR CLASS A ORDINARY SHARES, INCLUDING THE APPLICABILITY AND EFFECT OF FEDERAL, STATE, LOCAL AND NON-U.S. TAX LAWS AND POSSIBLE CHANGES IN TAX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Although we do not anticipate paying any dividends in the foreseeable future, as described in “</w:t>
      </w:r>
      <w:r>
        <w:rPr>
          <w:rFonts w:ascii="Arial" w:cs="Arial" w:eastAsia="Arial" w:hAnsi="Arial"/>
          <w:sz w:val="18"/>
          <w:szCs w:val="18"/>
          <w:i w:val="1"/>
          <w:iCs w:val="1"/>
          <w:color w:val="auto"/>
        </w:rPr>
        <w:t>Dividend Policy</w:t>
      </w:r>
      <w:r>
        <w:rPr>
          <w:rFonts w:ascii="Arial" w:cs="Arial" w:eastAsia="Arial" w:hAnsi="Arial"/>
          <w:sz w:val="18"/>
          <w:szCs w:val="18"/>
          <w:color w:val="auto"/>
        </w:rPr>
        <w:t>” above, if we do make any distributions, subject to the discussion below under “</w:t>
      </w:r>
      <w:r>
        <w:rPr>
          <w:rFonts w:ascii="Arial" w:cs="Arial" w:eastAsia="Arial" w:hAnsi="Arial"/>
          <w:sz w:val="18"/>
          <w:szCs w:val="18"/>
          <w:i w:val="1"/>
          <w:iCs w:val="1"/>
          <w:color w:val="auto"/>
        </w:rPr>
        <w:t>—Passive Foreign Investment Company</w:t>
      </w:r>
      <w:r>
        <w:rPr>
          <w:rFonts w:ascii="Arial" w:cs="Arial" w:eastAsia="Arial" w:hAnsi="Arial"/>
          <w:sz w:val="18"/>
          <w:szCs w:val="18"/>
          <w:color w:val="auto"/>
        </w:rPr>
        <w:t>,” the amount of dividends paid to a United States Holder with respect to our Class A ordinary shares before reduction for any Israeli taxes withheld therefrom generally 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tax basis in those Class A ordinary shares and thereafter as capital gains. However, we do not intend to calculate our earnings and profits under United States federal income tax principles. Therefore, United States Holders should expect to treat a distribution as a dividend even if that distribution would otherwise be treated as a non-taxable return of capital or as capital gain under the rules described above.</w:t>
      </w:r>
    </w:p>
    <w:p>
      <w:pPr>
        <w:spacing w:after="0" w:line="152"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Foreign withholding tax (if any) paid on dividends on our Class A ordinary shares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Class A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Class A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9" w:name="page120"/>
    <w:bookmarkEnd w:id="119"/>
    <w:p>
      <w:pPr>
        <w:ind w:right="260"/>
        <w:spacing w:after="0" w:line="247" w:lineRule="auto"/>
        <w:rPr>
          <w:sz w:val="20"/>
          <w:szCs w:val="20"/>
          <w:color w:val="auto"/>
        </w:rPr>
      </w:pPr>
      <w:r>
        <w:rPr>
          <w:rFonts w:ascii="Arial" w:cs="Arial" w:eastAsia="Arial" w:hAnsi="Arial"/>
          <w:sz w:val="18"/>
          <w:szCs w:val="18"/>
          <w:color w:val="auto"/>
        </w:rPr>
        <w:t>shares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w:t>
      </w:r>
    </w:p>
    <w:p>
      <w:pPr>
        <w:spacing w:after="0" w:line="15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Dividends received by certain non-corporate United States Holders (including individuals) may be “qualified dividend income,” which is taxed at the lower capital gains rate, provided that (i) either our Class A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periods and other requirements. In this regard, shares generally are considered to be readily tradable on an established securities market in the United States if they are listed on the NYSE, as our Class A ordinary shares are. United States Holders should consult their tax advisors regarding the availability of the reduced tax rate on dividends paid with respect to our Class A ordinary shares. The dividends will not be eligible for the dividends received deduction available to United States Holders that are corporations in respect of dividends received from other United States corporations.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Class A Ordinary Shares</w:t>
      </w:r>
    </w:p>
    <w:p>
      <w:pPr>
        <w:spacing w:after="0" w:line="16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Subject to the discussion below under “</w:t>
      </w:r>
      <w:r>
        <w:rPr>
          <w:rFonts w:ascii="Arial" w:cs="Arial" w:eastAsia="Arial" w:hAnsi="Arial"/>
          <w:sz w:val="17"/>
          <w:szCs w:val="17"/>
          <w:i w:val="1"/>
          <w:iCs w:val="1"/>
          <w:color w:val="auto"/>
        </w:rPr>
        <w:t>—Passive Foreign Investment Company</w:t>
      </w:r>
      <w:r>
        <w:rPr>
          <w:rFonts w:ascii="Arial" w:cs="Arial" w:eastAsia="Arial" w:hAnsi="Arial"/>
          <w:sz w:val="17"/>
          <w:szCs w:val="17"/>
          <w:color w:val="auto"/>
        </w:rPr>
        <w:t>,” a United States Holder generally will recognize capital gains or loss for United States federal income tax purposes on the sale or other taxable disposition of our Class A ordinary shares equal to the difference, if any, between the amount realized and the United States Holder’s tax basis in those Class A ordinary shares. If any Israeli tax is imposed on the sale, exchange or other disposition of our Class A ordinary shares, a United States Holder’s amount realized will include the gross amount of the proceeds before deduction of the Israeli tax. In general, capital gains recognized by a non-corporate United States Holder, including an individual, are subject to a lower rate under current law if such United States Holder held shares for more than one year. The deductibility of capital losses is subject to limitations. Any such gain or loss generally will be treated as United States source income or loss for purposes of the foreign tax credit. A United States Holder’s tax basis in shares generally will equal the cost of such shares. Because gain for the sale or other taxable disposition of our Class A ordinary shares will be treated as United States source income, and United States Holders may use foreign tax credits against only the portion of United States federal income tax liability that is attributed to foreign source income in the same category, United States Holders’ ability to utilize a foreign tax credit with respect to the Israeli tax imposed on any such sale or other taxable disposition, if any, may be significantly limited. In addition, if a United States Holder is eligible for the benefit of the income tax convention between the United States and the State of Israel and pay Israeli tax in excess of the amount applicable to the United States Holder under such convention or if the Israeli tax paid is refundable, the United States Holder will not be able to claim any foreign tax credit or deduction with respect to such excess portion of the Israeli tax paid. United States Holders should consult their tax advisors as to whether the Israeli tax on gains may be creditable or deductible in light of their particular circumstances and their ability to apply the provisions of an applicable treaty.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would be a PFIC for any taxable year if, after the application of certain look-through rules, either: (i) 75% or more of our gross income for such year is “passive income” (as defined in the relevant provisions of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0" w:name="page121"/>
    <w:bookmarkEnd w:id="120"/>
    <w:p>
      <w:pPr>
        <w:spacing w:after="0" w:line="246" w:lineRule="auto"/>
        <w:rPr>
          <w:sz w:val="20"/>
          <w:szCs w:val="20"/>
          <w:color w:val="auto"/>
        </w:rPr>
      </w:pPr>
      <w:r>
        <w:rPr>
          <w:rFonts w:ascii="Arial" w:cs="Arial" w:eastAsia="Arial" w:hAnsi="Arial"/>
          <w:sz w:val="18"/>
          <w:szCs w:val="18"/>
          <w:color w:val="auto"/>
        </w:rPr>
        <w:t>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believe we were not a PFIC for the year ended December 31, 2021 and do not expect to be a PFIC for United States federal income tax purposes for the current taxable year or in the foreseeable future. However, this is a factual determination that must be made annually after the close of each taxable year. Moreover, the aggregate value of our assets for purposes of the PFIC determination may be determined by reference to the trading value of our Class A ordinary shares, which could fluctuate significantly. We have a substantial balance of cash and other liquid investments, which are passive assets for purposes of the PFIC determination. Accordingly, if our market capitalization declines significantly, it may make our classification as a PFIC more likely for the current of future taxable years. In addition, it is possible that the IRS may take a contrary position with respect to our determination in any particular year, and therefore, there can be no assurance that we were not a PFIC for the year ended December 31, 2021 or will not be classified as a PFIC for the current taxable year or in the future. Certain adverse United States federal 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spacing w:after="0" w:line="15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If we are a PFIC for any taxable year that a United States Holder holds our Class A ordinary shares, unless the United States Holder makes certain elections, any gain recognized by the United States Holder on a sale or other disposition of our Class A ordinary shares would be allocated pro-rata over the United States Holder’s holding period for the Class A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Class A ordinary shares exceeds 125% of the average of the annual distributions on the Class A ordinary shares received during the preceding three years or the United States Holder’s holding period, whichever is shorter, that distribution would be subject to taxation in the same manner as gain on the sale or other disposition of our Class A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of the Class A ordinary shares. In addition, a timely election to treat us as a qualified electing fund under the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should consult their tax advisors about the potential application of the PFIC rules to an investment in the Class A ordinary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8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Dividend payments and proceeds paid from the sale or other taxable disposition of our Class A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Class A ordinary shares paid within the United States or through certain U.S.-related financial intermediaries.</w:t>
      </w:r>
    </w:p>
    <w:p>
      <w:pPr>
        <w:spacing w:after="0" w:line="155"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1" w:name="page122"/>
    <w:bookmarkEnd w:id="121"/>
    <w:p>
      <w:pPr>
        <w:ind w:right="500"/>
        <w:spacing w:after="0" w:line="251" w:lineRule="auto"/>
        <w:rPr>
          <w:sz w:val="20"/>
          <w:szCs w:val="20"/>
          <w:color w:val="auto"/>
        </w:rPr>
      </w:pPr>
      <w:r>
        <w:rPr>
          <w:rFonts w:ascii="Arial" w:cs="Arial" w:eastAsia="Arial" w:hAnsi="Arial"/>
          <w:sz w:val="18"/>
          <w:szCs w:val="18"/>
          <w:color w:val="auto"/>
        </w:rPr>
        <w:t>Rather, any amount withheld under the backup withholding rules will be creditable or refundable against the United States Holder’s United States federal income tax liability, provided the required information is timely furnished to the IRS.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Financial Asset Reporting</w:t>
      </w:r>
    </w:p>
    <w:p>
      <w:pPr>
        <w:spacing w:after="0" w:line="18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Certain United States Holders are required to report their holdings of certain foreign financial assets, including equity of foreign entities, if the aggregate value of all of these assets exceeds certain threshold amounts. Our Class A ordinary shares are expected to constitute foreign financial assets subject to these requirements unless the Class A ordinary shares are held in an account at certain financial institutions. United States Holders should consult their tax advisors regarding the application of these reporting requirements.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 Dividends and Paying Agents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 Statement by Experts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 Documents on Display</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Our filings with the SEC are also available to the public through the SEC’s website at http://www.sec.gov. This site contains reports and other information about issuers, like us, that file electronically with the SEC. The address of that website is www.sec.gov.</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 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spacing w:after="0" w:line="158"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maintain a corporate website at http://www.riskified.com. Information contained on, or that can be accessed through our website does not constitute a part of this Annual Report on Form 20-F. We also make available on our website’s investor relations page at http://ir.riskified.com,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spacing w:after="0" w:line="132" w:lineRule="exact"/>
        <w:rPr>
          <w:sz w:val="20"/>
          <w:szCs w:val="20"/>
          <w:color w:val="auto"/>
        </w:rPr>
      </w:pPr>
    </w:p>
    <w:p>
      <w:pPr>
        <w:ind w:left="640" w:hanging="31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revenue is largely denominated in U.S. dollars, while a portion of our expenses are paid in NIS. Our functional currency is the U.S. dollar. Since substantially all of our sales are denominated in U.S. dollars, our revenue is not currently subject to significant foreign currency risk. However, a significant portion of our operating costs in Israel, consisting principally of compensation and benefits related costs, and overhead costs, are denominated in NIS. This foreign currency exposure gives rise to market risk associated with exchange rate movements of the U.S. dollar against the NIS. Furthermore, we anticipate that a material portion of our expenses will continue to be denominated in NIS. To reduce the impact of foreign exchange risks associated with forecasted future cash flows and the volatility in our consolidated statements of operations, we have established a hedging program. We currently utilize foreign currency contracts, primarily forward and option contracts, with financial institutions to protect against foreign currency exchange risks, mainly the exposure to changes in the exchange rate of the NIS against the U.S. dollar that are associated with future cash flows denominated in NIS. We do not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program reduces but does not eliminate the impact of currency exchange rate movements. We may in the future enter into other derivative financial instruments if it is determined that such hedging activities are appropriate to further reduce our foreign currency exchange risk. The effect of a hypothetical 10% change in foreign currency exchange rates would have impacted our results of operations by $9.7 million, and $2.1 million for the years ended December 31, 2021 and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had cash, cash equivalents, and short-term deposits of $503.3 million and $117.6 million as of December 31, 2021 and 2020, respectively. Cash and cash equivalents consist of cash in banks and bank deposits. Short-term deposits consist of deposits that mature within one year. In addition, we had $7.0 million and $3.0 million of restricted cash as of December 31, 2021 and 2020, respectively, that primarily consists of cash deposits to back letters of credit related to certain operating leases and cash deposits that are held to secure our hedging activities. Our cash, cash equivalents, and short-term deposits are held for working capital purposes.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 We did not have any debt outstanding as of December 31, 2021 and 2020. Due to the short-term nature of cash, cash equivalents, and short-term deposits, a hypothetical 10% change in interest rates during any of the periods presented would not have materially impacted our consolidated financial statements for the periods presented.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23" w:name="page124"/>
    <w:bookmarkEnd w:id="123"/>
    <w:p>
      <w:pPr>
        <w:ind w:right="320" w:firstLine="318"/>
        <w:spacing w:after="0" w:line="251" w:lineRule="auto"/>
        <w:rPr>
          <w:sz w:val="20"/>
          <w:szCs w:val="20"/>
          <w:color w:val="auto"/>
        </w:rPr>
      </w:pPr>
      <w:r>
        <w:rPr>
          <w:rFonts w:ascii="Arial" w:cs="Arial" w:eastAsia="Arial" w:hAnsi="Arial"/>
          <w:sz w:val="18"/>
          <w:szCs w:val="18"/>
          <w:color w:val="auto"/>
        </w:rPr>
        <w:t>On August 2, 2021, upon closing of the IPO, we amended and restated our articles of association. A copy of our amended and restated articles of association is being filed as Exhibit 1.1 to this Annual Report.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August 2, 2021, we completed an IPO of 19,925,000 Class A ordinary shares (including 2,625,000 additional Class A ordinary shares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exercise of the underwriters’ option to purchase additional Class A ordinary shares) sold at an initial public offering price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$21.00 per share. We did not receive any proceeds from the sale of Class A ordinary shares by the selling shareholder. The Class A ordinary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shares offered and sold in the IPO were registered under the Securities Act pursuant to our Registration Statement on Form F-1 (File No. 333-</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257603), which was declared effective by the SEC on July 28, 2021.</w:t>
      </w:r>
    </w:p>
    <w:p>
      <w:pPr>
        <w:spacing w:after="0" w:line="164"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The offering did not terminate until after the sale of all 19,925,000 Class A ordinary shares registered on the registration statement. The aggregate offering price for the shares registered and sold was approximately $418.4 million. Goldman Sachs &amp; Co. LLC, J.P. Morgan Securities LLC and Credit Suisse Securities (USA) LLC acted as representatives of the several underwriters.</w:t>
      </w:r>
    </w:p>
    <w:p>
      <w:pPr>
        <w:spacing w:after="0" w:line="153"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The IPO generated proceeds to us of approximately $392.3 million, net of underwriting discounts and commissions and offering expenses paid by us.</w:t>
      </w:r>
    </w:p>
    <w:p>
      <w:pPr>
        <w:spacing w:after="0" w:line="150"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persons owning 10% or more of our ordinary shares or any other affiliates.</w:t>
      </w:r>
    </w:p>
    <w:p>
      <w:pPr>
        <w:spacing w:after="0" w:line="15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July 29, 2021 pursuant to Rule 424(b).</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6"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We maintain disclosure controls and procedures (as that term is defined in Rules 13a-15(e) and 15d-15(e) under the Securities Exchange Act of 1934, as amended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2021. Based upon that evaluation, our Chief Executive Officer and Chief Financial Officer concluded that, as of December 31, 2021, our disclosure controls and procedures were effective to accomplish their objectives at the reasonable assurance level.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(as such term is defined in Rules 13a-15(f) and 15d-15(f) under the Securities Exchange Act) due to a transition period established by rules of the SEC for newly public companies. This Annual Report also does not include an attestation report of our independent registered public accounting firm due to a transition period established by rules of the SEC for newly public companies. Additionally, our independent registered public accounting firm will not be required to opine on the effectiveness of our internal control over financial reporting until we are no longer an “emerging growth company.”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124" w:name="page125"/>
    <w:bookmarkEnd w:id="124"/>
    <w:p>
      <w:pPr>
        <w:ind w:right="120" w:firstLine="318"/>
        <w:spacing w:after="0" w:line="248"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that occurred during the period covered by this Annual Report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86"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Our Board has determined that Ms. Ceran, Mr. Syed, and Mr. Shachar each satisfy the “independence” requirements set forth in Rule 10A-3 under the Exchange Act. Our board of directors has also determined that Ms. Ceran is considered an “audit committee financial expert” as defined in Item 16A of Form 20-F under the Exchange 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86" w:lineRule="exact"/>
        <w:rPr>
          <w:sz w:val="20"/>
          <w:szCs w:val="20"/>
          <w:color w:val="auto"/>
        </w:rPr>
      </w:pPr>
    </w:p>
    <w:p>
      <w:pPr>
        <w:ind w:right="280" w:firstLine="318"/>
        <w:spacing w:after="0" w:line="246" w:lineRule="auto"/>
        <w:rPr>
          <w:sz w:val="20"/>
          <w:szCs w:val="20"/>
          <w:color w:val="auto"/>
        </w:rPr>
      </w:pPr>
      <w:r>
        <w:rPr>
          <w:rFonts w:ascii="Arial" w:cs="Arial" w:eastAsia="Arial" w:hAnsi="Arial"/>
          <w:sz w:val="18"/>
          <w:szCs w:val="18"/>
          <w:color w:val="auto"/>
        </w:rPr>
        <w:t>We have adopted a Code of Ethics and Conduct that applies to all our employees, officers and directors, including our principal executive, principal financial and principal accounting officers. Our Code of Ethics and Conduct addresses, among other things, competition and fair dealing, conflicts of interest, financial matters and external reporting, company funds and assets, confidentiality and corporate opportunity requirements and the process for reporting violations of the Code of Ethics and Conduct, employee misconduct, conflicts of interest or other violations. Our Code of Ethics and Conduct is intended to meet the definition of “code of ethics” under Item 16B of Form 20-F under the Exchange Act.</w:t>
      </w:r>
    </w:p>
    <w:p>
      <w:pPr>
        <w:spacing w:after="0" w:line="158"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We will disclose on our website any amendment to, or waiver from, a provision of our Code of Ethics and Conduct that applies to our directors or executive officers to the extent required under the rules of the SEC or the NYSE. Our Code of Conduct is available on our website at http://www.riskified.com. The information contained on or through our website, or any other website referred to herein, is not incorporated by reference in this Annual Report.</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granted no waivers under our Code of Business Conduct and Ethics in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86"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consolidated financial statements of Riskified Ltd. at December 31, 2021 and 2020 and for each of the two years in the period ended December 31, 2021, appearing in this Annual Report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Building A, Tel Aviv 6492101, Israel.</w:t>
      </w:r>
    </w:p>
    <w:p>
      <w:pPr>
        <w:spacing w:after="0" w:line="154" w:lineRule="exact"/>
        <w:rPr>
          <w:sz w:val="20"/>
          <w:szCs w:val="20"/>
          <w:color w:val="auto"/>
        </w:rPr>
      </w:pPr>
    </w:p>
    <w:p>
      <w:pPr>
        <w:ind w:right="440" w:firstLine="318"/>
        <w:spacing w:after="0" w:line="251" w:lineRule="auto"/>
        <w:rPr>
          <w:sz w:val="20"/>
          <w:szCs w:val="20"/>
          <w:color w:val="auto"/>
        </w:rPr>
      </w:pPr>
      <w:r>
        <w:rPr>
          <w:rFonts w:ascii="Arial" w:cs="Arial" w:eastAsia="Arial" w:hAnsi="Arial"/>
          <w:sz w:val="18"/>
          <w:szCs w:val="18"/>
          <w:color w:val="auto"/>
        </w:rPr>
        <w:t>The table below sets out the total amount billed to us by Kost Forer Gabbay &amp; Kasierer, a member of Ernst &amp; Young Global, for services performed in the years ended December 31, 2021 and 2020, and breaks down these amounts by category of service:</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r>
      <w:tr>
        <w:trPr>
          <w:trHeight w:val="179"/>
        </w:trPr>
        <w:tc>
          <w:tcPr>
            <w:tcW w:w="746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r>
      <w:tr>
        <w:trPr>
          <w:trHeight w:val="179"/>
        </w:trPr>
        <w:tc>
          <w:tcPr>
            <w:tcW w:w="7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20" w:type="dxa"/>
            <w:vAlign w:val="bottom"/>
            <w:gridSpan w:val="3"/>
          </w:tcPr>
          <w:p>
            <w:pPr>
              <w:jc w:val="right"/>
              <w:ind w:right="67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r>
      <w:tr>
        <w:trPr>
          <w:trHeight w:val="225"/>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Audit Fees</w:t>
            </w:r>
          </w:p>
        </w:tc>
        <w:tc>
          <w:tcPr>
            <w:tcW w:w="12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Audit Related Fees</w:t>
            </w:r>
          </w:p>
        </w:tc>
        <w:tc>
          <w:tcPr>
            <w:tcW w:w="1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Fees</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7460" w:type="dxa"/>
            <w:vAlign w:val="bottom"/>
          </w:tcPr>
          <w:p>
            <w:pPr>
              <w:ind w:left="5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11" w:right="239" w:bottom="1440" w:gutter="0" w:footer="0" w:header="0"/>
        </w:sectPr>
      </w:pPr>
    </w:p>
    <w:bookmarkStart w:id="125" w:name="page126"/>
    <w:bookmarkEnd w:id="125"/>
    <w:p>
      <w:pPr>
        <w:ind w:firstLine="318"/>
        <w:spacing w:after="0" w:line="248" w:lineRule="auto"/>
        <w:rPr>
          <w:sz w:val="20"/>
          <w:szCs w:val="20"/>
          <w:color w:val="auto"/>
        </w:rPr>
      </w:pPr>
      <w:r>
        <w:rPr>
          <w:rFonts w:ascii="Arial" w:cs="Arial" w:eastAsia="Arial" w:hAnsi="Arial"/>
          <w:sz w:val="18"/>
          <w:szCs w:val="18"/>
          <w:color w:val="auto"/>
        </w:rPr>
        <w:t>Audit fees for the years ended December 31, 2021 and 2020 include fees for the audit of our annual financial statements. This category also includes services that the independent accountant generally provides, such as consents and assistance with and review of documents filed with the SEC.</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Audit related fees for the years ended December 31, 2021 and 2020 relate to services in connection with our IPO.</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 Fees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Tax fees for the year ended December 31, 2021 and 2020 were related to ongoing tax advisory, tax compliance and tax planning services.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186"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advance approval of the Audit Committee or members thereof, to whom approval authority has been delegated, is required for all audit and non-audit services provided by our auditors.</w:t>
      </w:r>
    </w:p>
    <w:p>
      <w:pPr>
        <w:spacing w:after="0" w:line="150"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All services provided by our auditors are approved in advance by either the Audit Committee or members thereof, to whom authority has been delegated, in accordance with the Audit Committee’s pre-approval policy.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As an Israeli company, we are subject to various corporate governance requirements under the Companies Law. However, pursuant to regulations promulgated under the Companies Law, companies with shares traded on certain U.S. stock exchanges, including the NYSE, may, subject to certain conditions, “opt out” from the Companies Law requirements to appoint external directors and related Companies Law rules described below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the NYSE, and (iii) we comply with the director independence requirements and the audit committee and compensation committee composition requirements under U.S. laws (including applicable rules of the NYSE) applicable to U.S. domestic issuers.</w:t>
      </w:r>
    </w:p>
    <w:p>
      <w:pPr>
        <w:spacing w:after="0" w:line="157" w:lineRule="exact"/>
        <w:rPr>
          <w:sz w:val="20"/>
          <w:szCs w:val="20"/>
          <w:color w:val="auto"/>
        </w:rPr>
      </w:pPr>
    </w:p>
    <w:p>
      <w:pPr>
        <w:jc w:val="both"/>
        <w:ind w:right="120" w:firstLine="318"/>
        <w:spacing w:after="0" w:line="248" w:lineRule="auto"/>
        <w:rPr>
          <w:sz w:val="20"/>
          <w:szCs w:val="20"/>
          <w:color w:val="auto"/>
        </w:rPr>
      </w:pPr>
      <w:r>
        <w:rPr>
          <w:rFonts w:ascii="Arial" w:cs="Arial" w:eastAsia="Arial" w:hAnsi="Arial"/>
          <w:sz w:val="18"/>
          <w:szCs w:val="18"/>
          <w:color w:val="auto"/>
        </w:rPr>
        <w:t>We are a “foreign private issuer” (as such term is defined in Rule 3b-4 under the Exchange Act and our Class A Ordinary Shares are listed on the New York Stock Exchange. As a “foreign private issuer” we are permitted to comply with Israeli corporate governance practices instead of the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rules of the NYSE, provided that we disclose which requirements we are not following and the equivalent Israeli requirement.</w:t>
      </w:r>
    </w:p>
    <w:p>
      <w:pPr>
        <w:spacing w:after="0" w:line="16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are, however, subject to the obligations to report changes in share ownership under Section 13 of the Exchange Act and related SEC rules.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rely on this “foreign private issuer exemption” with respect to the quorum requirement for shareholder meetings. Whereas under the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corporate governance rules of the NYSE, a quorum requires the presence, in person or by proxy, of holders of at least 33⅓% of the total issued outstanding voting power of our shares at each general meeting of shareholders, pursuant to our amended and restated articles of association, and as permitted under the Companies Law, the quorum required for a general meeting of shareholders will consist of at least two shareholders present in person or by proxy in accordance with the Companies Law, who hold or represent at least 33⅓% of the total outstanding voting power of our shares, except if (i) any such general meeting of shareholders was initiated by and convened pursuant to a resolution adopted by the board of directors and (ii) at the time of such general meeting, we qualify to use the forms and rules of a “foreign private issuer,” in which case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 We otherwise comply with and intend to continue to comply with the rules generally applicable to U.S. domestic companies listed on the New York Stock Exchange.</w:t>
      </w:r>
    </w:p>
    <w:p>
      <w:pPr>
        <w:spacing w:after="0" w:line="16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may in the future, however, decide to use other “foreign private issuer exemptions” with respect to some or all of the other New York Stock Exchange listing rules. Following our home country governance practices may provide less protection than is accorded to investors under the New York Stock Exchange listing rules applicable to domestic issuers.</w:t>
      </w:r>
    </w:p>
    <w:p>
      <w:pPr>
        <w:spacing w:after="0" w:line="153" w:lineRule="exact"/>
        <w:rPr>
          <w:sz w:val="20"/>
          <w:szCs w:val="20"/>
          <w:color w:val="auto"/>
        </w:rPr>
      </w:pPr>
    </w:p>
    <w:p>
      <w:pPr>
        <w:ind w:right="840" w:firstLine="318"/>
        <w:spacing w:after="0" w:line="280" w:lineRule="auto"/>
        <w:rPr>
          <w:sz w:val="20"/>
          <w:szCs w:val="20"/>
          <w:color w:val="auto"/>
        </w:rPr>
      </w:pPr>
      <w:r>
        <w:rPr>
          <w:rFonts w:ascii="Arial" w:cs="Arial" w:eastAsia="Arial" w:hAnsi="Arial"/>
          <w:sz w:val="17"/>
          <w:szCs w:val="17"/>
          <w:color w:val="auto"/>
        </w:rPr>
        <w:t>We intend to take all actions necessary for us to maintain compliance as a “foreign private issuer” under the applicable corporate governance requirements of the Sarbanes-Oxley Act of 2002, the rules adopted by the SEC and NYSE listing standards.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provided financial statements pursuant to Item 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86"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The audited consolidated financial statements as required under Item 18 are attached hereto starting on page F-1 of this Annual Report. The audit report of Kost Forer Gabbay &amp; Kasierer, a member of Ernst &amp; Young Global, an independent registered public accounting firm, is included herein preceding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127" w:name="page128"/>
    <w:bookmarkEnd w:id="127"/>
    <w:p>
      <w:pPr>
        <w:spacing w:after="0" w:line="1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19. EXHIBITS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gridSpan w:val="3"/>
          </w:tcPr>
          <w:p>
            <w:pPr>
              <w:ind w:left="640"/>
              <w:spacing w:after="0"/>
              <w:rPr>
                <w:sz w:val="20"/>
                <w:szCs w:val="20"/>
                <w:color w:val="auto"/>
              </w:rPr>
            </w:pPr>
            <w:r>
              <w:rPr>
                <w:rFonts w:ascii="Arial" w:cs="Arial" w:eastAsia="Arial" w:hAnsi="Arial"/>
                <w:sz w:val="14"/>
                <w:szCs w:val="14"/>
                <w:b w:val="1"/>
                <w:bCs w:val="1"/>
                <w:color w:val="auto"/>
              </w:rPr>
              <w:t>Incorporation by Reference</w:t>
            </w:r>
          </w:p>
        </w:tc>
      </w:tr>
      <w:tr>
        <w:trPr>
          <w:trHeight w:val="356"/>
        </w:trPr>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xhibit No.</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23"/>
          </w:tcPr>
          <w:p>
            <w:pPr>
              <w:ind w:left="4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jc w:val="center"/>
              <w:ind w:right="69"/>
              <w:spacing w:after="0"/>
              <w:rPr>
                <w:sz w:val="20"/>
                <w:szCs w:val="20"/>
                <w:color w:val="auto"/>
              </w:rPr>
            </w:pPr>
            <w:r>
              <w:rPr>
                <w:rFonts w:ascii="Arial" w:cs="Arial" w:eastAsia="Arial" w:hAnsi="Arial"/>
                <w:sz w:val="14"/>
                <w:szCs w:val="14"/>
                <w:b w:val="1"/>
                <w:bCs w:val="1"/>
                <w:color w:val="auto"/>
              </w:rPr>
              <w:t>Form</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Exhibit No.</w:t>
            </w:r>
          </w:p>
        </w:tc>
        <w:tc>
          <w:tcPr>
            <w:tcW w:w="2120" w:type="dxa"/>
            <w:vAlign w:val="bottom"/>
          </w:tcPr>
          <w:p>
            <w:pPr>
              <w:ind w:left="120"/>
              <w:spacing w:after="0"/>
              <w:rPr>
                <w:sz w:val="20"/>
                <w:szCs w:val="20"/>
                <w:color w:val="auto"/>
              </w:rPr>
            </w:pPr>
            <w:r>
              <w:rPr>
                <w:rFonts w:ascii="Arial" w:cs="Arial" w:eastAsia="Arial" w:hAnsi="Arial"/>
                <w:sz w:val="14"/>
                <w:szCs w:val="14"/>
                <w:b w:val="1"/>
                <w:bCs w:val="1"/>
                <w:color w:val="auto"/>
              </w:rPr>
              <w:t>Filing Date Filed / Furnished</w:t>
            </w:r>
          </w:p>
        </w:tc>
      </w:tr>
      <w:tr>
        <w:trPr>
          <w:trHeight w:val="20"/>
        </w:trPr>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52"/>
        </w:trPr>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40" w:type="dxa"/>
            <w:vAlign w:val="bottom"/>
            <w:gridSpan w:val="30"/>
          </w:tcPr>
          <w:p>
            <w:pPr>
              <w:spacing w:after="0" w:line="152" w:lineRule="exact"/>
              <w:rPr>
                <w:rFonts w:ascii="Arial" w:cs="Arial" w:eastAsia="Arial" w:hAnsi="Arial"/>
                <w:sz w:val="14"/>
                <w:szCs w:val="14"/>
                <w:color w:val="0000FF"/>
              </w:rPr>
            </w:pPr>
            <w:hyperlink w:anchor="page174">
              <w:r>
                <w:rPr>
                  <w:rFonts w:ascii="Arial" w:cs="Arial" w:eastAsia="Arial" w:hAnsi="Arial"/>
                  <w:sz w:val="14"/>
                  <w:szCs w:val="14"/>
                  <w:color w:val="0000FF"/>
                </w:rPr>
                <w:t>Amended and Restated Articles of Association of</w:t>
              </w:r>
            </w:hyperlink>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20" w:type="dxa"/>
            <w:vAlign w:val="bottom"/>
          </w:tcPr>
          <w:p>
            <w:pPr>
              <w:jc w:val="center"/>
              <w:ind w:left="749"/>
              <w:spacing w:after="0" w:line="152" w:lineRule="exact"/>
              <w:rPr>
                <w:sz w:val="20"/>
                <w:szCs w:val="20"/>
                <w:color w:val="auto"/>
              </w:rPr>
            </w:pPr>
            <w:r>
              <w:rPr>
                <w:rFonts w:ascii="Arial" w:cs="Arial" w:eastAsia="Arial" w:hAnsi="Arial"/>
                <w:sz w:val="14"/>
                <w:szCs w:val="14"/>
                <w:color w:val="auto"/>
              </w:rPr>
              <w:t>*</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0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rPr>
            </w:pPr>
            <w:hyperlink w:anchor="page174">
              <w:r>
                <w:rPr>
                  <w:rFonts w:ascii="Arial" w:cs="Arial" w:eastAsia="Arial" w:hAnsi="Arial"/>
                  <w:sz w:val="13"/>
                  <w:szCs w:val="13"/>
                  <w:color w:val="0000FF"/>
                </w:rPr>
                <w:t>Riskified Ltd.</w:t>
              </w:r>
            </w:hyperlink>
          </w:p>
        </w:tc>
        <w:tc>
          <w:tcPr>
            <w:tcW w:w="1920" w:type="dxa"/>
            <w:vAlign w:val="bottom"/>
            <w:tcBorders>
              <w:top w:val="single" w:sz="8" w:color="0000FF"/>
            </w:tcBorders>
            <w:gridSpan w:val="17"/>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258"/>
        </w:trPr>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40" w:type="dxa"/>
            <w:vAlign w:val="bottom"/>
            <w:gridSpan w:val="30"/>
          </w:tcPr>
          <w:p>
            <w:pPr>
              <w:spacing w:after="0"/>
              <w:rPr>
                <w:rFonts w:ascii="Arial" w:cs="Arial" w:eastAsia="Arial" w:hAnsi="Arial"/>
                <w:sz w:val="14"/>
                <w:szCs w:val="14"/>
                <w:color w:val="0000FF"/>
              </w:rPr>
            </w:pPr>
            <w:hyperlink r:id="rId152">
              <w:r>
                <w:rPr>
                  <w:rFonts w:ascii="Arial" w:cs="Arial" w:eastAsia="Arial" w:hAnsi="Arial"/>
                  <w:sz w:val="14"/>
                  <w:szCs w:val="14"/>
                  <w:color w:val="0000FF"/>
                </w:rPr>
                <w:t>Specimen Class A ordinary share certificate of the</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rPr>
              <w:t>F-1/A</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4.1</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23, 2021</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0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rPr>
            </w:pPr>
            <w:hyperlink r:id="rId152">
              <w:r>
                <w:rPr>
                  <w:rFonts w:ascii="Arial" w:cs="Arial" w:eastAsia="Arial" w:hAnsi="Arial"/>
                  <w:sz w:val="13"/>
                  <w:szCs w:val="13"/>
                  <w:color w:val="0000FF"/>
                </w:rPr>
                <w:t>Riskified Ltd.</w:t>
              </w:r>
            </w:hyperlink>
          </w:p>
        </w:tc>
        <w:tc>
          <w:tcPr>
            <w:tcW w:w="200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205"/>
        </w:trPr>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40" w:type="dxa"/>
            <w:vAlign w:val="bottom"/>
            <w:gridSpan w:val="30"/>
          </w:tcPr>
          <w:p>
            <w:pPr>
              <w:spacing w:after="0"/>
              <w:rPr>
                <w:rFonts w:ascii="Arial" w:cs="Arial" w:eastAsia="Arial" w:hAnsi="Arial"/>
                <w:sz w:val="14"/>
                <w:szCs w:val="14"/>
                <w:color w:val="0000FF"/>
              </w:rPr>
            </w:pPr>
            <w:hyperlink w:anchor="page203">
              <w:r>
                <w:rPr>
                  <w:rFonts w:ascii="Arial" w:cs="Arial" w:eastAsia="Arial" w:hAnsi="Arial"/>
                  <w:sz w:val="14"/>
                  <w:szCs w:val="14"/>
                  <w:color w:val="0000FF"/>
                </w:rPr>
                <w:t>Description of Securities</w:t>
              </w:r>
            </w:hyperlink>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20" w:type="dxa"/>
            <w:vAlign w:val="bottom"/>
          </w:tcPr>
          <w:p>
            <w:pPr>
              <w:jc w:val="center"/>
              <w:ind w:left="749"/>
              <w:spacing w:after="0"/>
              <w:rPr>
                <w:sz w:val="20"/>
                <w:szCs w:val="20"/>
                <w:color w:val="auto"/>
              </w:rPr>
            </w:pPr>
            <w:r>
              <w:rPr>
                <w:rFonts w:ascii="Arial" w:cs="Arial" w:eastAsia="Arial" w:hAnsi="Arial"/>
                <w:sz w:val="14"/>
                <w:szCs w:val="14"/>
                <w:color w:val="auto"/>
              </w:rPr>
              <w:t>*</w:t>
            </w: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5"/>
        </w:trPr>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40" w:type="dxa"/>
            <w:vAlign w:val="bottom"/>
            <w:gridSpan w:val="30"/>
          </w:tcPr>
          <w:p>
            <w:pPr>
              <w:spacing w:after="0"/>
              <w:rPr>
                <w:rFonts w:ascii="Arial" w:cs="Arial" w:eastAsia="Arial" w:hAnsi="Arial"/>
                <w:sz w:val="14"/>
                <w:szCs w:val="14"/>
                <w:color w:val="0000FF"/>
              </w:rPr>
            </w:pPr>
            <w:hyperlink r:id="rId134">
              <w:r>
                <w:rPr>
                  <w:rFonts w:ascii="Arial" w:cs="Arial" w:eastAsia="Arial" w:hAnsi="Arial"/>
                  <w:sz w:val="14"/>
                  <w:szCs w:val="14"/>
                  <w:color w:val="0000FF"/>
                </w:rPr>
                <w:t>2021 Amended and Restated Investors’ Rights</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w w:val="95"/>
              </w:rPr>
              <w:t>F-1</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4.2</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19, 2021</w:t>
            </w:r>
          </w:p>
        </w:tc>
      </w:tr>
      <w:tr>
        <w:trPr>
          <w:trHeight w:val="119"/>
        </w:trPr>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580" w:type="dxa"/>
            <w:vAlign w:val="bottom"/>
            <w:tcBorders>
              <w:top w:val="single" w:sz="8" w:color="0000FF"/>
            </w:tcBorders>
            <w:gridSpan w:val="17"/>
          </w:tcPr>
          <w:p>
            <w:pPr>
              <w:spacing w:after="0" w:line="119" w:lineRule="exact"/>
              <w:rPr>
                <w:rFonts w:ascii="Arial" w:cs="Arial" w:eastAsia="Arial" w:hAnsi="Arial"/>
                <w:sz w:val="13"/>
                <w:szCs w:val="13"/>
                <w:color w:val="0000FF"/>
              </w:rPr>
            </w:pPr>
            <w:hyperlink r:id="rId134">
              <w:r>
                <w:rPr>
                  <w:rFonts w:ascii="Arial" w:cs="Arial" w:eastAsia="Arial" w:hAnsi="Arial"/>
                  <w:sz w:val="13"/>
                  <w:szCs w:val="13"/>
                  <w:color w:val="0000FF"/>
                </w:rPr>
                <w:t>Agreement, dated as of July 18, 2021, by</w:t>
              </w:r>
            </w:hyperlink>
          </w:p>
        </w:tc>
        <w:tc>
          <w:tcPr>
            <w:tcW w:w="320" w:type="dxa"/>
            <w:vAlign w:val="bottom"/>
            <w:gridSpan w:val="11"/>
          </w:tcPr>
          <w:p>
            <w:pPr>
              <w:ind w:left="20"/>
              <w:spacing w:after="0" w:line="119" w:lineRule="exact"/>
              <w:rPr>
                <w:rFonts w:ascii="Arial" w:cs="Arial" w:eastAsia="Arial" w:hAnsi="Arial"/>
                <w:sz w:val="13"/>
                <w:szCs w:val="13"/>
                <w:color w:val="0000FF"/>
              </w:rPr>
            </w:pPr>
            <w:hyperlink r:id="rId134">
              <w:r>
                <w:rPr>
                  <w:rFonts w:ascii="Arial" w:cs="Arial" w:eastAsia="Arial" w:hAnsi="Arial"/>
                  <w:sz w:val="13"/>
                  <w:szCs w:val="13"/>
                  <w:color w:val="0000FF"/>
                </w:rPr>
                <w:t>and</w:t>
              </w:r>
            </w:hyperlink>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tcBorders>
              <w:top w:val="single" w:sz="8" w:color="0000FF"/>
            </w:tcBorders>
            <w:gridSpan w:val="26"/>
          </w:tcPr>
          <w:p>
            <w:pPr>
              <w:spacing w:after="0" w:line="113" w:lineRule="exact"/>
              <w:rPr>
                <w:rFonts w:ascii="Arial" w:cs="Arial" w:eastAsia="Arial" w:hAnsi="Arial"/>
                <w:sz w:val="13"/>
                <w:szCs w:val="13"/>
                <w:color w:val="0000FF"/>
              </w:rPr>
            </w:pPr>
            <w:hyperlink r:id="rId134">
              <w:r>
                <w:rPr>
                  <w:rFonts w:ascii="Arial" w:cs="Arial" w:eastAsia="Arial" w:hAnsi="Arial"/>
                  <w:sz w:val="13"/>
                  <w:szCs w:val="13"/>
                  <w:color w:val="0000FF"/>
                </w:rPr>
                <w:t>among the Registrant and the parties named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Borders>
              <w:top w:val="single" w:sz="8" w:color="0000FF"/>
              <w:bottom w:val="single" w:sz="8" w:color="0000FF"/>
            </w:tcBorders>
            <w:gridSpan w:val="9"/>
          </w:tcPr>
          <w:p>
            <w:pPr>
              <w:spacing w:after="0" w:line="113" w:lineRule="exact"/>
              <w:rPr>
                <w:rFonts w:ascii="Arial" w:cs="Arial" w:eastAsia="Arial" w:hAnsi="Arial"/>
                <w:sz w:val="13"/>
                <w:szCs w:val="13"/>
                <w:color w:val="0000FF"/>
              </w:rPr>
            </w:pPr>
            <w:hyperlink r:id="rId134">
              <w:r>
                <w:rPr>
                  <w:rFonts w:ascii="Arial" w:cs="Arial" w:eastAsia="Arial" w:hAnsi="Arial"/>
                  <w:sz w:val="13"/>
                  <w:szCs w:val="13"/>
                  <w:color w:val="0000FF"/>
                </w:rPr>
                <w:t>in Schedule A thereto.</w:t>
              </w:r>
            </w:hyperlink>
          </w:p>
        </w:tc>
        <w:tc>
          <w:tcPr>
            <w:tcW w:w="140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258"/>
        </w:trPr>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40" w:type="dxa"/>
            <w:vAlign w:val="bottom"/>
            <w:tcBorders>
              <w:bottom w:val="single" w:sz="8" w:color="0000FF"/>
            </w:tcBorders>
            <w:gridSpan w:val="12"/>
          </w:tcPr>
          <w:p>
            <w:pPr>
              <w:spacing w:after="0"/>
              <w:rPr>
                <w:rFonts w:ascii="Arial" w:cs="Arial" w:eastAsia="Arial" w:hAnsi="Arial"/>
                <w:sz w:val="14"/>
                <w:szCs w:val="14"/>
                <w:color w:val="0000FF"/>
              </w:rPr>
            </w:pPr>
            <w:hyperlink r:id="rId153">
              <w:r>
                <w:rPr>
                  <w:rFonts w:ascii="Arial" w:cs="Arial" w:eastAsia="Arial" w:hAnsi="Arial"/>
                  <w:sz w:val="14"/>
                  <w:szCs w:val="14"/>
                  <w:color w:val="0000FF"/>
                </w:rPr>
                <w:t>Series B/C Warrant issued to Kreos</w:t>
              </w:r>
            </w:hyperlink>
          </w:p>
        </w:tc>
        <w:tc>
          <w:tcPr>
            <w:tcW w:w="1000" w:type="dxa"/>
            <w:vAlign w:val="bottom"/>
            <w:gridSpan w:val="18"/>
          </w:tcPr>
          <w:p>
            <w:pPr>
              <w:spacing w:after="0"/>
              <w:rPr>
                <w:sz w:val="22"/>
                <w:szCs w:val="22"/>
                <w:color w:val="auto"/>
              </w:rPr>
            </w:pPr>
          </w:p>
        </w:tc>
        <w:tc>
          <w:tcPr>
            <w:tcW w:w="540" w:type="dxa"/>
            <w:vAlign w:val="bottom"/>
          </w:tcPr>
          <w:p>
            <w:pPr>
              <w:jc w:val="center"/>
              <w:ind w:right="69"/>
              <w:spacing w:after="0"/>
              <w:rPr>
                <w:sz w:val="20"/>
                <w:szCs w:val="20"/>
                <w:color w:val="auto"/>
              </w:rPr>
            </w:pPr>
            <w:r>
              <w:rPr>
                <w:rFonts w:ascii="Arial" w:cs="Arial" w:eastAsia="Arial" w:hAnsi="Arial"/>
                <w:sz w:val="14"/>
                <w:szCs w:val="14"/>
                <w:color w:val="auto"/>
                <w:w w:val="95"/>
              </w:rPr>
              <w:t>F-1</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4.3</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 2021</w:t>
            </w:r>
          </w:p>
        </w:tc>
      </w:tr>
      <w:tr>
        <w:trPr>
          <w:trHeight w:val="404"/>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gridSpan w:val="30"/>
          </w:tcPr>
          <w:p>
            <w:pPr>
              <w:spacing w:after="0"/>
              <w:rPr>
                <w:rFonts w:ascii="Arial" w:cs="Arial" w:eastAsia="Arial" w:hAnsi="Arial"/>
                <w:sz w:val="14"/>
                <w:szCs w:val="14"/>
                <w:color w:val="0000FF"/>
              </w:rPr>
            </w:pPr>
            <w:hyperlink r:id="rId135">
              <w:r>
                <w:rPr>
                  <w:rFonts w:ascii="Arial" w:cs="Arial" w:eastAsia="Arial" w:hAnsi="Arial"/>
                  <w:sz w:val="14"/>
                  <w:szCs w:val="14"/>
                  <w:color w:val="0000FF"/>
                </w:rPr>
                <w:t>Share Purchase Warrant issued to Wayfair LLC,</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w w:val="95"/>
              </w:rPr>
              <w:t>F-1</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4.5</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 2021</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680" w:type="dxa"/>
            <w:vAlign w:val="bottom"/>
            <w:tcBorders>
              <w:top w:val="single" w:sz="8" w:color="0000FF"/>
              <w:bottom w:val="single" w:sz="8" w:color="0000FF"/>
            </w:tcBorders>
            <w:gridSpan w:val="19"/>
          </w:tcPr>
          <w:p>
            <w:pPr>
              <w:spacing w:after="0" w:line="113" w:lineRule="exact"/>
              <w:rPr>
                <w:rFonts w:ascii="Arial" w:cs="Arial" w:eastAsia="Arial" w:hAnsi="Arial"/>
                <w:sz w:val="13"/>
                <w:szCs w:val="13"/>
                <w:color w:val="0000FF"/>
              </w:rPr>
            </w:pPr>
            <w:hyperlink r:id="rId135">
              <w:r>
                <w:rPr>
                  <w:rFonts w:ascii="Arial" w:cs="Arial" w:eastAsia="Arial" w:hAnsi="Arial"/>
                  <w:sz w:val="13"/>
                  <w:szCs w:val="13"/>
                  <w:color w:val="0000FF"/>
                </w:rPr>
                <w:t>dated as of June 21, 2021, by and between</w:t>
              </w:r>
            </w:hyperlink>
          </w:p>
        </w:tc>
        <w:tc>
          <w:tcPr>
            <w:tcW w:w="20" w:type="dxa"/>
            <w:vAlign w:val="bottom"/>
            <w:tcBorders>
              <w:bottom w:val="single" w:sz="8" w:color="0000FF"/>
            </w:tcBorders>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700" w:type="dxa"/>
            <w:vAlign w:val="bottom"/>
            <w:gridSpan w:val="20"/>
          </w:tcPr>
          <w:p>
            <w:pPr>
              <w:spacing w:after="0" w:line="113" w:lineRule="exact"/>
              <w:rPr>
                <w:rFonts w:ascii="Arial" w:cs="Arial" w:eastAsia="Arial" w:hAnsi="Arial"/>
                <w:sz w:val="13"/>
                <w:szCs w:val="13"/>
                <w:color w:val="0000FF"/>
              </w:rPr>
            </w:pPr>
            <w:hyperlink r:id="rId135">
              <w:r>
                <w:rPr>
                  <w:rFonts w:ascii="Arial" w:cs="Arial" w:eastAsia="Arial" w:hAnsi="Arial"/>
                  <w:sz w:val="13"/>
                  <w:szCs w:val="13"/>
                  <w:color w:val="0000FF"/>
                </w:rPr>
                <w:t>the Registrant and Wayfair LLC</w:t>
              </w:r>
            </w:hyperlink>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right w:val="single" w:sz="8" w:color="0000FF"/>
            </w:tcBorders>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65"/>
        </w:trPr>
        <w:tc>
          <w:tcPr>
            <w:tcW w:w="620" w:type="dxa"/>
            <w:vAlign w:val="bottom"/>
            <w:gridSpan w:val="2"/>
          </w:tcPr>
          <w:p>
            <w:pPr>
              <w:spacing w:after="0"/>
              <w:rPr>
                <w:sz w:val="20"/>
                <w:szCs w:val="20"/>
                <w:color w:val="auto"/>
              </w:rPr>
            </w:pPr>
            <w:r>
              <w:rPr>
                <w:rFonts w:ascii="Arial" w:cs="Arial" w:eastAsia="Arial" w:hAnsi="Arial"/>
                <w:sz w:val="14"/>
                <w:szCs w:val="14"/>
                <w:color w:val="0000FF"/>
              </w:rPr>
              <w:t>††</w:t>
            </w:r>
          </w:p>
        </w:tc>
        <w:tc>
          <w:tcPr>
            <w:tcW w:w="3240" w:type="dxa"/>
            <w:vAlign w:val="bottom"/>
            <w:gridSpan w:val="30"/>
          </w:tcPr>
          <w:p>
            <w:pPr>
              <w:spacing w:after="0"/>
              <w:rPr>
                <w:rFonts w:ascii="Arial" w:cs="Arial" w:eastAsia="Arial" w:hAnsi="Arial"/>
                <w:sz w:val="14"/>
                <w:szCs w:val="14"/>
                <w:color w:val="0000FF"/>
              </w:rPr>
            </w:pPr>
            <w:hyperlink r:id="rId128">
              <w:r>
                <w:rPr>
                  <w:rFonts w:ascii="Arial" w:cs="Arial" w:eastAsia="Arial" w:hAnsi="Arial"/>
                  <w:sz w:val="14"/>
                  <w:szCs w:val="14"/>
                  <w:color w:val="0000FF"/>
                </w:rPr>
                <w:t>Form of Director and Officer Indemnification</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rPr>
              <w:t>F-1/A</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19, 2021</w:t>
            </w:r>
          </w:p>
        </w:tc>
      </w:tr>
      <w:tr>
        <w:trPr>
          <w:trHeight w:val="93"/>
        </w:trPr>
        <w:tc>
          <w:tcPr>
            <w:tcW w:w="160" w:type="dxa"/>
            <w:vAlign w:val="bottom"/>
            <w:tcBorders>
              <w:top w:val="single" w:sz="8" w:color="0000FF"/>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400" w:type="dxa"/>
            <w:vAlign w:val="bottom"/>
            <w:tcBorders>
              <w:top w:val="single" w:sz="8" w:color="0000FF"/>
            </w:tcBorders>
            <w:gridSpan w:val="14"/>
          </w:tcPr>
          <w:p>
            <w:pPr>
              <w:spacing w:after="0" w:line="93" w:lineRule="exact"/>
              <w:rPr>
                <w:rFonts w:ascii="Arial" w:cs="Arial" w:eastAsia="Arial" w:hAnsi="Arial"/>
                <w:sz w:val="10"/>
                <w:szCs w:val="10"/>
                <w:color w:val="0000FF"/>
              </w:rPr>
            </w:pPr>
            <w:hyperlink r:id="rId128">
              <w:r>
                <w:rPr>
                  <w:rFonts w:ascii="Arial" w:cs="Arial" w:eastAsia="Arial" w:hAnsi="Arial"/>
                  <w:sz w:val="10"/>
                  <w:szCs w:val="10"/>
                  <w:color w:val="0000FF"/>
                </w:rPr>
                <w:t>Agreement</w:t>
              </w:r>
            </w:hyperlink>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80" w:type="dxa"/>
            <w:vAlign w:val="bottom"/>
            <w:gridSpan w:val="6"/>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120" w:type="dxa"/>
            <w:vAlign w:val="bottom"/>
          </w:tcPr>
          <w:p>
            <w:pPr>
              <w:spacing w:after="0"/>
              <w:rPr>
                <w:sz w:val="8"/>
                <w:szCs w:val="8"/>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1"/>
        </w:trPr>
        <w:tc>
          <w:tcPr>
            <w:tcW w:w="16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76"/>
              </w:rPr>
              <w:t>††</w:t>
            </w:r>
          </w:p>
        </w:tc>
        <w:tc>
          <w:tcPr>
            <w:tcW w:w="460" w:type="dxa"/>
            <w:vAlign w:val="bottom"/>
          </w:tcPr>
          <w:p>
            <w:pPr>
              <w:spacing w:after="0"/>
              <w:rPr>
                <w:sz w:val="24"/>
                <w:szCs w:val="24"/>
                <w:color w:val="auto"/>
              </w:rPr>
            </w:pPr>
          </w:p>
        </w:tc>
        <w:tc>
          <w:tcPr>
            <w:tcW w:w="3240" w:type="dxa"/>
            <w:vAlign w:val="bottom"/>
            <w:tcBorders>
              <w:bottom w:val="single" w:sz="8" w:color="0000FF"/>
            </w:tcBorders>
            <w:gridSpan w:val="30"/>
          </w:tcPr>
          <w:p>
            <w:pPr>
              <w:spacing w:after="0"/>
              <w:rPr>
                <w:rFonts w:ascii="Arial" w:cs="Arial" w:eastAsia="Arial" w:hAnsi="Arial"/>
                <w:sz w:val="14"/>
                <w:szCs w:val="14"/>
                <w:color w:val="0000FF"/>
              </w:rPr>
            </w:pPr>
            <w:hyperlink r:id="rId129">
              <w:r>
                <w:rPr>
                  <w:rFonts w:ascii="Arial" w:cs="Arial" w:eastAsia="Arial" w:hAnsi="Arial"/>
                  <w:sz w:val="14"/>
                  <w:szCs w:val="14"/>
                  <w:color w:val="0000FF"/>
                </w:rPr>
                <w:t>Amended and Restated 2013 Equity Incentive Plan</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w w:val="95"/>
              </w:rPr>
              <w:t>F-1</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10.2</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 2021</w:t>
            </w:r>
          </w:p>
        </w:tc>
      </w:tr>
      <w:tr>
        <w:trPr>
          <w:trHeight w:val="404"/>
        </w:trPr>
        <w:tc>
          <w:tcPr>
            <w:tcW w:w="620" w:type="dxa"/>
            <w:vAlign w:val="bottom"/>
            <w:gridSpan w:val="2"/>
          </w:tcPr>
          <w:p>
            <w:pPr>
              <w:spacing w:after="0"/>
              <w:rPr>
                <w:sz w:val="20"/>
                <w:szCs w:val="20"/>
                <w:color w:val="auto"/>
              </w:rPr>
            </w:pPr>
            <w:r>
              <w:rPr>
                <w:rFonts w:ascii="Arial" w:cs="Arial" w:eastAsia="Arial" w:hAnsi="Arial"/>
                <w:sz w:val="14"/>
                <w:szCs w:val="14"/>
                <w:color w:val="0000FF"/>
              </w:rPr>
              <w:t>††</w:t>
            </w:r>
          </w:p>
        </w:tc>
        <w:tc>
          <w:tcPr>
            <w:tcW w:w="3240" w:type="dxa"/>
            <w:vAlign w:val="bottom"/>
            <w:gridSpan w:val="30"/>
          </w:tcPr>
          <w:p>
            <w:pPr>
              <w:spacing w:after="0"/>
              <w:rPr>
                <w:rFonts w:ascii="Arial" w:cs="Arial" w:eastAsia="Arial" w:hAnsi="Arial"/>
                <w:sz w:val="14"/>
                <w:szCs w:val="14"/>
                <w:color w:val="0000FF"/>
              </w:rPr>
            </w:pPr>
            <w:hyperlink r:id="rId130">
              <w:r>
                <w:rPr>
                  <w:rFonts w:ascii="Arial" w:cs="Arial" w:eastAsia="Arial" w:hAnsi="Arial"/>
                  <w:sz w:val="14"/>
                  <w:szCs w:val="14"/>
                  <w:color w:val="0000FF"/>
                </w:rPr>
                <w:t>Amended and Restated U.S. Sub-Plan to the 2013</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w w:val="95"/>
              </w:rPr>
              <w:t>F-1</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10.3</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 2021</w:t>
            </w:r>
          </w:p>
        </w:tc>
      </w:tr>
      <w:tr>
        <w:trPr>
          <w:trHeight w:val="93"/>
        </w:trPr>
        <w:tc>
          <w:tcPr>
            <w:tcW w:w="160" w:type="dxa"/>
            <w:vAlign w:val="bottom"/>
            <w:tcBorders>
              <w:top w:val="single" w:sz="8" w:color="0000FF"/>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840" w:type="dxa"/>
            <w:vAlign w:val="bottom"/>
            <w:tcBorders>
              <w:top w:val="single" w:sz="8" w:color="0000FF"/>
            </w:tcBorders>
            <w:gridSpan w:val="25"/>
          </w:tcPr>
          <w:p>
            <w:pPr>
              <w:spacing w:after="0" w:line="93" w:lineRule="exact"/>
              <w:rPr>
                <w:rFonts w:ascii="Arial" w:cs="Arial" w:eastAsia="Arial" w:hAnsi="Arial"/>
                <w:sz w:val="10"/>
                <w:szCs w:val="10"/>
                <w:color w:val="0000FF"/>
              </w:rPr>
            </w:pPr>
            <w:hyperlink r:id="rId130">
              <w:r>
                <w:rPr>
                  <w:rFonts w:ascii="Arial" w:cs="Arial" w:eastAsia="Arial" w:hAnsi="Arial"/>
                  <w:sz w:val="10"/>
                  <w:szCs w:val="10"/>
                  <w:color w:val="0000FF"/>
                </w:rPr>
                <w:t>Equity Incentive Plan</w:t>
              </w:r>
            </w:hyperlink>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120" w:type="dxa"/>
            <w:vAlign w:val="bottom"/>
          </w:tcPr>
          <w:p>
            <w:pPr>
              <w:spacing w:after="0"/>
              <w:rPr>
                <w:sz w:val="8"/>
                <w:szCs w:val="8"/>
                <w:color w:val="auto"/>
              </w:rPr>
            </w:pPr>
          </w:p>
        </w:tc>
      </w:tr>
      <w:tr>
        <w:trPr>
          <w:trHeight w:val="20"/>
        </w:trPr>
        <w:tc>
          <w:tcPr>
            <w:tcW w:w="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72"/>
        </w:trPr>
        <w:tc>
          <w:tcPr>
            <w:tcW w:w="620" w:type="dxa"/>
            <w:vAlign w:val="bottom"/>
            <w:gridSpan w:val="2"/>
          </w:tcPr>
          <w:p>
            <w:pPr>
              <w:spacing w:after="0"/>
              <w:rPr>
                <w:sz w:val="20"/>
                <w:szCs w:val="20"/>
                <w:color w:val="auto"/>
              </w:rPr>
            </w:pPr>
            <w:r>
              <w:rPr>
                <w:rFonts w:ascii="Arial" w:cs="Arial" w:eastAsia="Arial" w:hAnsi="Arial"/>
                <w:sz w:val="14"/>
                <w:szCs w:val="14"/>
                <w:color w:val="0000FF"/>
              </w:rPr>
              <w:t>††</w:t>
            </w:r>
          </w:p>
        </w:tc>
        <w:tc>
          <w:tcPr>
            <w:tcW w:w="3240" w:type="dxa"/>
            <w:vAlign w:val="bottom"/>
            <w:gridSpan w:val="30"/>
          </w:tcPr>
          <w:p>
            <w:pPr>
              <w:spacing w:after="0"/>
              <w:rPr>
                <w:rFonts w:ascii="Arial" w:cs="Arial" w:eastAsia="Arial" w:hAnsi="Arial"/>
                <w:sz w:val="14"/>
                <w:szCs w:val="14"/>
                <w:color w:val="0000FF"/>
              </w:rPr>
            </w:pPr>
            <w:hyperlink r:id="rId131">
              <w:r>
                <w:rPr>
                  <w:rFonts w:ascii="Arial" w:cs="Arial" w:eastAsia="Arial" w:hAnsi="Arial"/>
                  <w:sz w:val="14"/>
                  <w:szCs w:val="14"/>
                  <w:color w:val="0000FF"/>
                </w:rPr>
                <w:t>2021 Share Incentive Plan</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rPr>
              <w:t>F-1/A</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10.4</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19, 2021</w:t>
            </w:r>
          </w:p>
        </w:tc>
      </w:tr>
      <w:tr>
        <w:trPr>
          <w:trHeight w:val="20"/>
        </w:trPr>
        <w:tc>
          <w:tcPr>
            <w:tcW w:w="160" w:type="dxa"/>
            <w:vAlign w:val="bottom"/>
            <w:tcBorders>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04"/>
        </w:trPr>
        <w:tc>
          <w:tcPr>
            <w:tcW w:w="620" w:type="dxa"/>
            <w:vAlign w:val="bottom"/>
            <w:gridSpan w:val="2"/>
          </w:tcPr>
          <w:p>
            <w:pPr>
              <w:spacing w:after="0"/>
              <w:rPr>
                <w:sz w:val="20"/>
                <w:szCs w:val="20"/>
                <w:color w:val="auto"/>
              </w:rPr>
            </w:pPr>
            <w:r>
              <w:rPr>
                <w:rFonts w:ascii="Arial" w:cs="Arial" w:eastAsia="Arial" w:hAnsi="Arial"/>
                <w:sz w:val="14"/>
                <w:szCs w:val="14"/>
                <w:color w:val="0000FF"/>
              </w:rPr>
              <w:t>††</w:t>
            </w:r>
          </w:p>
        </w:tc>
        <w:tc>
          <w:tcPr>
            <w:tcW w:w="3240" w:type="dxa"/>
            <w:vAlign w:val="bottom"/>
            <w:gridSpan w:val="30"/>
          </w:tcPr>
          <w:p>
            <w:pPr>
              <w:spacing w:after="0"/>
              <w:rPr>
                <w:rFonts w:ascii="Arial" w:cs="Arial" w:eastAsia="Arial" w:hAnsi="Arial"/>
                <w:sz w:val="14"/>
                <w:szCs w:val="14"/>
                <w:color w:val="0000FF"/>
              </w:rPr>
            </w:pPr>
            <w:hyperlink r:id="rId132">
              <w:r>
                <w:rPr>
                  <w:rFonts w:ascii="Arial" w:cs="Arial" w:eastAsia="Arial" w:hAnsi="Arial"/>
                  <w:sz w:val="14"/>
                  <w:szCs w:val="14"/>
                  <w:color w:val="0000FF"/>
                </w:rPr>
                <w:t>Compensation Policy for Executive Officers and</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rPr>
              <w:t>F-1/A</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10.5</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19, 2021</w:t>
            </w:r>
          </w:p>
        </w:tc>
      </w:tr>
      <w:tr>
        <w:trPr>
          <w:trHeight w:val="92"/>
        </w:trPr>
        <w:tc>
          <w:tcPr>
            <w:tcW w:w="160" w:type="dxa"/>
            <w:vAlign w:val="bottom"/>
            <w:tcBorders>
              <w:top w:val="single" w:sz="8" w:color="0000FF"/>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640" w:type="dxa"/>
            <w:vAlign w:val="bottom"/>
            <w:tcBorders>
              <w:top w:val="single" w:sz="8" w:color="0000FF"/>
            </w:tcBorders>
            <w:gridSpan w:val="18"/>
          </w:tcPr>
          <w:p>
            <w:pPr>
              <w:spacing w:after="0" w:line="93" w:lineRule="exact"/>
              <w:rPr>
                <w:rFonts w:ascii="Arial" w:cs="Arial" w:eastAsia="Arial" w:hAnsi="Arial"/>
                <w:sz w:val="10"/>
                <w:szCs w:val="10"/>
                <w:color w:val="0000FF"/>
              </w:rPr>
            </w:pPr>
            <w:hyperlink r:id="rId132">
              <w:r>
                <w:rPr>
                  <w:rFonts w:ascii="Arial" w:cs="Arial" w:eastAsia="Arial" w:hAnsi="Arial"/>
                  <w:sz w:val="10"/>
                  <w:szCs w:val="10"/>
                  <w:color w:val="0000FF"/>
                </w:rPr>
                <w:t>Directors</w:t>
              </w:r>
            </w:hyperlink>
          </w:p>
        </w:tc>
        <w:tc>
          <w:tcPr>
            <w:tcW w:w="180" w:type="dxa"/>
            <w:vAlign w:val="bottom"/>
            <w:gridSpan w:val="6"/>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120" w:type="dxa"/>
            <w:vAlign w:val="bottom"/>
          </w:tcPr>
          <w:p>
            <w:pPr>
              <w:spacing w:after="0"/>
              <w:rPr>
                <w:sz w:val="8"/>
                <w:szCs w:val="8"/>
                <w:color w:val="auto"/>
              </w:rPr>
            </w:pPr>
          </w:p>
        </w:tc>
      </w:tr>
      <w:tr>
        <w:trPr>
          <w:trHeight w:val="20"/>
        </w:trPr>
        <w:tc>
          <w:tcPr>
            <w:tcW w:w="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2"/>
        </w:trPr>
        <w:tc>
          <w:tcPr>
            <w:tcW w:w="620" w:type="dxa"/>
            <w:vAlign w:val="bottom"/>
            <w:gridSpan w:val="2"/>
          </w:tcPr>
          <w:p>
            <w:pPr>
              <w:spacing w:after="0"/>
              <w:rPr>
                <w:sz w:val="20"/>
                <w:szCs w:val="20"/>
                <w:color w:val="auto"/>
              </w:rPr>
            </w:pPr>
            <w:r>
              <w:rPr>
                <w:rFonts w:ascii="Arial" w:cs="Arial" w:eastAsia="Arial" w:hAnsi="Arial"/>
                <w:sz w:val="14"/>
                <w:szCs w:val="14"/>
                <w:color w:val="0000FF"/>
              </w:rPr>
              <w:t>††</w:t>
            </w:r>
          </w:p>
        </w:tc>
        <w:tc>
          <w:tcPr>
            <w:tcW w:w="3240" w:type="dxa"/>
            <w:vAlign w:val="bottom"/>
            <w:gridSpan w:val="30"/>
          </w:tcPr>
          <w:p>
            <w:pPr>
              <w:spacing w:after="0"/>
              <w:rPr>
                <w:rFonts w:ascii="Arial" w:cs="Arial" w:eastAsia="Arial" w:hAnsi="Arial"/>
                <w:sz w:val="14"/>
                <w:szCs w:val="14"/>
                <w:color w:val="0000FF"/>
              </w:rPr>
            </w:pPr>
            <w:hyperlink r:id="rId133">
              <w:r>
                <w:rPr>
                  <w:rFonts w:ascii="Arial" w:cs="Arial" w:eastAsia="Arial" w:hAnsi="Arial"/>
                  <w:sz w:val="14"/>
                  <w:szCs w:val="14"/>
                  <w:color w:val="0000FF"/>
                </w:rPr>
                <w:t>2021 Employee Share Purchase Plan</w:t>
              </w:r>
            </w:hyperlink>
          </w:p>
        </w:tc>
        <w:tc>
          <w:tcPr>
            <w:tcW w:w="540" w:type="dxa"/>
            <w:vAlign w:val="bottom"/>
          </w:tcPr>
          <w:p>
            <w:pPr>
              <w:jc w:val="center"/>
              <w:ind w:right="69"/>
              <w:spacing w:after="0"/>
              <w:rPr>
                <w:sz w:val="20"/>
                <w:szCs w:val="20"/>
                <w:color w:val="auto"/>
              </w:rPr>
            </w:pPr>
            <w:r>
              <w:rPr>
                <w:rFonts w:ascii="Arial" w:cs="Arial" w:eastAsia="Arial" w:hAnsi="Arial"/>
                <w:sz w:val="14"/>
                <w:szCs w:val="14"/>
                <w:color w:val="auto"/>
              </w:rPr>
              <w:t>F-1/A</w:t>
            </w:r>
          </w:p>
        </w:tc>
        <w:tc>
          <w:tcPr>
            <w:tcW w:w="980" w:type="dxa"/>
            <w:vAlign w:val="bottom"/>
          </w:tcPr>
          <w:p>
            <w:pPr>
              <w:jc w:val="center"/>
              <w:spacing w:after="0"/>
              <w:rPr>
                <w:sz w:val="20"/>
                <w:szCs w:val="20"/>
                <w:color w:val="auto"/>
              </w:rPr>
            </w:pPr>
            <w:r>
              <w:rPr>
                <w:rFonts w:ascii="Arial" w:cs="Arial" w:eastAsia="Arial" w:hAnsi="Arial"/>
                <w:sz w:val="14"/>
                <w:szCs w:val="14"/>
                <w:color w:val="auto"/>
              </w:rPr>
              <w:t>333-257603</w:t>
            </w:r>
          </w:p>
        </w:tc>
        <w:tc>
          <w:tcPr>
            <w:tcW w:w="880" w:type="dxa"/>
            <w:vAlign w:val="bottom"/>
          </w:tcPr>
          <w:p>
            <w:pPr>
              <w:jc w:val="center"/>
              <w:spacing w:after="0"/>
              <w:rPr>
                <w:sz w:val="20"/>
                <w:szCs w:val="20"/>
                <w:color w:val="auto"/>
              </w:rPr>
            </w:pPr>
            <w:r>
              <w:rPr>
                <w:rFonts w:ascii="Arial" w:cs="Arial" w:eastAsia="Arial" w:hAnsi="Arial"/>
                <w:sz w:val="14"/>
                <w:szCs w:val="14"/>
                <w:color w:val="auto"/>
              </w:rPr>
              <w:t>10.6</w:t>
            </w:r>
          </w:p>
        </w:tc>
        <w:tc>
          <w:tcPr>
            <w:tcW w:w="2120" w:type="dxa"/>
            <w:vAlign w:val="bottom"/>
          </w:tcPr>
          <w:p>
            <w:pPr>
              <w:jc w:val="center"/>
              <w:ind w:right="1089"/>
              <w:spacing w:after="0"/>
              <w:rPr>
                <w:sz w:val="20"/>
                <w:szCs w:val="20"/>
                <w:color w:val="auto"/>
              </w:rPr>
            </w:pPr>
            <w:r>
              <w:rPr>
                <w:rFonts w:ascii="Arial" w:cs="Arial" w:eastAsia="Arial" w:hAnsi="Arial"/>
                <w:sz w:val="14"/>
                <w:szCs w:val="14"/>
                <w:color w:val="auto"/>
              </w:rPr>
              <w:t>July 19, 2021</w:t>
            </w:r>
          </w:p>
        </w:tc>
      </w:tr>
      <w:tr>
        <w:trPr>
          <w:trHeight w:val="384"/>
        </w:trPr>
        <w:tc>
          <w:tcPr>
            <w:tcW w:w="1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Borders>
              <w:top w:val="single" w:sz="8" w:color="0000FF"/>
              <w:bottom w:val="single" w:sz="8" w:color="0000FF"/>
            </w:tcBorders>
            <w:gridSpan w:val="7"/>
          </w:tcPr>
          <w:p>
            <w:pPr>
              <w:spacing w:after="0"/>
              <w:rPr>
                <w:rFonts w:ascii="Arial" w:cs="Arial" w:eastAsia="Arial" w:hAnsi="Arial"/>
                <w:sz w:val="14"/>
                <w:szCs w:val="14"/>
                <w:color w:val="0000FF"/>
              </w:rPr>
            </w:pPr>
            <w:hyperlink w:anchor="page219">
              <w:r>
                <w:rPr>
                  <w:rFonts w:ascii="Arial" w:cs="Arial" w:eastAsia="Arial" w:hAnsi="Arial"/>
                  <w:sz w:val="14"/>
                  <w:szCs w:val="14"/>
                  <w:color w:val="0000FF"/>
                </w:rPr>
                <w:t>List of Subsidiaries</w:t>
              </w:r>
            </w:hyperlink>
          </w:p>
        </w:tc>
        <w:tc>
          <w:tcPr>
            <w:tcW w:w="1160" w:type="dxa"/>
            <w:vAlign w:val="bottom"/>
            <w:tcBorders>
              <w:top w:val="single" w:sz="8" w:color="0000FF"/>
            </w:tcBorders>
            <w:gridSpan w:val="7"/>
          </w:tcPr>
          <w:p>
            <w:pPr>
              <w:spacing w:after="0"/>
              <w:rPr>
                <w:sz w:val="24"/>
                <w:szCs w:val="24"/>
                <w:color w:val="auto"/>
              </w:rPr>
            </w:pPr>
          </w:p>
        </w:tc>
        <w:tc>
          <w:tcPr>
            <w:tcW w:w="880" w:type="dxa"/>
            <w:vAlign w:val="bottom"/>
            <w:gridSpan w:val="16"/>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jc w:val="center"/>
              <w:ind w:left="749"/>
              <w:spacing w:after="0"/>
              <w:rPr>
                <w:sz w:val="20"/>
                <w:szCs w:val="20"/>
                <w:color w:val="auto"/>
              </w:rPr>
            </w:pPr>
            <w:r>
              <w:rPr>
                <w:rFonts w:ascii="Arial" w:cs="Arial" w:eastAsia="Arial" w:hAnsi="Arial"/>
                <w:sz w:val="14"/>
                <w:szCs w:val="14"/>
                <w:color w:val="auto"/>
              </w:rPr>
              <w:t>*</w:t>
            </w:r>
          </w:p>
        </w:tc>
      </w:tr>
      <w:tr>
        <w:trPr>
          <w:trHeight w:val="404"/>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24"/>
                <w:szCs w:val="24"/>
                <w:color w:val="auto"/>
              </w:rPr>
            </w:pPr>
          </w:p>
        </w:tc>
        <w:tc>
          <w:tcPr>
            <w:tcW w:w="3240" w:type="dxa"/>
            <w:vAlign w:val="bottom"/>
            <w:gridSpan w:val="30"/>
          </w:tcPr>
          <w:p>
            <w:pPr>
              <w:spacing w:after="0"/>
              <w:rPr>
                <w:rFonts w:ascii="Arial" w:cs="Arial" w:eastAsia="Arial" w:hAnsi="Arial"/>
                <w:sz w:val="14"/>
                <w:szCs w:val="14"/>
                <w:color w:val="0000FF"/>
              </w:rPr>
            </w:pPr>
            <w:hyperlink w:anchor="page212">
              <w:r>
                <w:rPr>
                  <w:rFonts w:ascii="Arial" w:cs="Arial" w:eastAsia="Arial" w:hAnsi="Arial"/>
                  <w:sz w:val="14"/>
                  <w:szCs w:val="14"/>
                  <w:color w:val="0000FF"/>
                </w:rPr>
                <w:t>Principal Executive Officer Certification Pursuant to</w:t>
              </w:r>
            </w:hyperlink>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jc w:val="center"/>
              <w:ind w:left="749"/>
              <w:spacing w:after="0"/>
              <w:rPr>
                <w:sz w:val="20"/>
                <w:szCs w:val="20"/>
                <w:color w:val="auto"/>
              </w:rPr>
            </w:pPr>
            <w:r>
              <w:rPr>
                <w:rFonts w:ascii="Arial" w:cs="Arial" w:eastAsia="Arial" w:hAnsi="Arial"/>
                <w:sz w:val="14"/>
                <w:szCs w:val="14"/>
                <w:color w:val="auto"/>
              </w:rPr>
              <w:t>*</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880" w:type="dxa"/>
            <w:vAlign w:val="bottom"/>
            <w:tcBorders>
              <w:top w:val="single" w:sz="8" w:color="0000FF"/>
            </w:tcBorders>
            <w:gridSpan w:val="27"/>
          </w:tcPr>
          <w:p>
            <w:pPr>
              <w:spacing w:after="0" w:line="113" w:lineRule="exact"/>
              <w:rPr>
                <w:rFonts w:ascii="Arial" w:cs="Arial" w:eastAsia="Arial" w:hAnsi="Arial"/>
                <w:sz w:val="13"/>
                <w:szCs w:val="13"/>
                <w:color w:val="0000FF"/>
              </w:rPr>
            </w:pPr>
            <w:hyperlink w:anchor="page212">
              <w:r>
                <w:rPr>
                  <w:rFonts w:ascii="Arial" w:cs="Arial" w:eastAsia="Arial" w:hAnsi="Arial"/>
                  <w:sz w:val="13"/>
                  <w:szCs w:val="13"/>
                  <w:color w:val="0000FF"/>
                </w:rPr>
                <w:t>Section 302 of the Sarbanes Oxley Act of</w:t>
              </w:r>
            </w:hyperlink>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6"/>
              </w:rPr>
            </w:pPr>
            <w:hyperlink w:anchor="page212">
              <w:r>
                <w:rPr>
                  <w:rFonts w:ascii="Arial" w:cs="Arial" w:eastAsia="Arial" w:hAnsi="Arial"/>
                  <w:sz w:val="13"/>
                  <w:szCs w:val="13"/>
                  <w:color w:val="0000FF"/>
                  <w:w w:val="96"/>
                </w:rPr>
                <w:t>2002</w:t>
              </w:r>
            </w:hyperlink>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311"/>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24"/>
                <w:szCs w:val="24"/>
                <w:color w:val="auto"/>
              </w:rPr>
            </w:pPr>
          </w:p>
        </w:tc>
        <w:tc>
          <w:tcPr>
            <w:tcW w:w="3240" w:type="dxa"/>
            <w:vAlign w:val="bottom"/>
            <w:gridSpan w:val="30"/>
          </w:tcPr>
          <w:p>
            <w:pPr>
              <w:spacing w:after="0"/>
              <w:rPr>
                <w:rFonts w:ascii="Arial" w:cs="Arial" w:eastAsia="Arial" w:hAnsi="Arial"/>
                <w:sz w:val="14"/>
                <w:szCs w:val="14"/>
                <w:color w:val="0000FF"/>
              </w:rPr>
            </w:pPr>
            <w:hyperlink w:anchor="page214">
              <w:r>
                <w:rPr>
                  <w:rFonts w:ascii="Arial" w:cs="Arial" w:eastAsia="Arial" w:hAnsi="Arial"/>
                  <w:sz w:val="14"/>
                  <w:szCs w:val="14"/>
                  <w:color w:val="0000FF"/>
                </w:rPr>
                <w:t>Principal Financial Officer Certification Pursuant to</w:t>
              </w:r>
            </w:hyperlink>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jc w:val="center"/>
              <w:ind w:left="749"/>
              <w:spacing w:after="0"/>
              <w:rPr>
                <w:sz w:val="20"/>
                <w:szCs w:val="20"/>
                <w:color w:val="auto"/>
              </w:rPr>
            </w:pPr>
            <w:r>
              <w:rPr>
                <w:rFonts w:ascii="Arial" w:cs="Arial" w:eastAsia="Arial" w:hAnsi="Arial"/>
                <w:sz w:val="14"/>
                <w:szCs w:val="14"/>
                <w:color w:val="auto"/>
              </w:rPr>
              <w:t>*</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820" w:type="dxa"/>
            <w:vAlign w:val="bottom"/>
            <w:tcBorders>
              <w:top w:val="single" w:sz="8" w:color="0000FF"/>
            </w:tcBorders>
            <w:gridSpan w:val="24"/>
          </w:tcPr>
          <w:p>
            <w:pPr>
              <w:spacing w:after="0" w:line="113" w:lineRule="exact"/>
              <w:rPr>
                <w:rFonts w:ascii="Arial" w:cs="Arial" w:eastAsia="Arial" w:hAnsi="Arial"/>
                <w:sz w:val="13"/>
                <w:szCs w:val="13"/>
                <w:color w:val="0000FF"/>
              </w:rPr>
            </w:pPr>
            <w:hyperlink w:anchor="page214">
              <w:r>
                <w:rPr>
                  <w:rFonts w:ascii="Arial" w:cs="Arial" w:eastAsia="Arial" w:hAnsi="Arial"/>
                  <w:sz w:val="13"/>
                  <w:szCs w:val="13"/>
                  <w:color w:val="0000FF"/>
                </w:rPr>
                <w:t>Section 302 of the Sarbanes Oxley Act of</w:t>
              </w:r>
            </w:hyperlink>
          </w:p>
        </w:tc>
        <w:tc>
          <w:tcPr>
            <w:tcW w:w="80" w:type="dxa"/>
            <w:vAlign w:val="bottom"/>
            <w:gridSpan w:val="4"/>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6"/>
              </w:rPr>
            </w:pPr>
            <w:hyperlink w:anchor="page214">
              <w:r>
                <w:rPr>
                  <w:rFonts w:ascii="Arial" w:cs="Arial" w:eastAsia="Arial" w:hAnsi="Arial"/>
                  <w:sz w:val="13"/>
                  <w:szCs w:val="13"/>
                  <w:color w:val="0000FF"/>
                  <w:w w:val="96"/>
                </w:rPr>
                <w:t>2002</w:t>
              </w:r>
            </w:hyperlink>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311"/>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24"/>
                <w:szCs w:val="24"/>
                <w:color w:val="auto"/>
              </w:rPr>
            </w:pPr>
          </w:p>
        </w:tc>
        <w:tc>
          <w:tcPr>
            <w:tcW w:w="3240" w:type="dxa"/>
            <w:vAlign w:val="bottom"/>
            <w:gridSpan w:val="30"/>
          </w:tcPr>
          <w:p>
            <w:pPr>
              <w:spacing w:after="0"/>
              <w:rPr>
                <w:rFonts w:ascii="Arial" w:cs="Arial" w:eastAsia="Arial" w:hAnsi="Arial"/>
                <w:sz w:val="14"/>
                <w:szCs w:val="14"/>
                <w:color w:val="0000FF"/>
              </w:rPr>
            </w:pPr>
            <w:hyperlink w:anchor="page216">
              <w:r>
                <w:rPr>
                  <w:rFonts w:ascii="Arial" w:cs="Arial" w:eastAsia="Arial" w:hAnsi="Arial"/>
                  <w:sz w:val="14"/>
                  <w:szCs w:val="14"/>
                  <w:color w:val="0000FF"/>
                </w:rPr>
                <w:t>Principal Executive Officer Certification Pursuant to</w:t>
              </w:r>
            </w:hyperlink>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jc w:val="center"/>
              <w:ind w:left="729"/>
              <w:spacing w:after="0"/>
              <w:rPr>
                <w:sz w:val="20"/>
                <w:szCs w:val="20"/>
                <w:color w:val="auto"/>
              </w:rPr>
            </w:pPr>
            <w:r>
              <w:rPr>
                <w:rFonts w:ascii="Arial" w:cs="Arial" w:eastAsia="Arial" w:hAnsi="Arial"/>
                <w:sz w:val="14"/>
                <w:szCs w:val="14"/>
                <w:color w:val="auto"/>
              </w:rPr>
              <w:t>**</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880" w:type="dxa"/>
            <w:vAlign w:val="bottom"/>
            <w:tcBorders>
              <w:top w:val="single" w:sz="8" w:color="0000FF"/>
            </w:tcBorders>
            <w:gridSpan w:val="27"/>
          </w:tcPr>
          <w:p>
            <w:pPr>
              <w:spacing w:after="0" w:line="113" w:lineRule="exact"/>
              <w:rPr>
                <w:rFonts w:ascii="Arial" w:cs="Arial" w:eastAsia="Arial" w:hAnsi="Arial"/>
                <w:sz w:val="13"/>
                <w:szCs w:val="13"/>
                <w:color w:val="0000FF"/>
              </w:rPr>
            </w:pPr>
            <w:hyperlink w:anchor="page216">
              <w:r>
                <w:rPr>
                  <w:rFonts w:ascii="Arial" w:cs="Arial" w:eastAsia="Arial" w:hAnsi="Arial"/>
                  <w:sz w:val="13"/>
                  <w:szCs w:val="13"/>
                  <w:color w:val="0000FF"/>
                </w:rPr>
                <w:t>Section 906 of the Sarbanes Oxley Act of</w:t>
              </w:r>
            </w:hyperlink>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6"/>
              </w:rPr>
            </w:pPr>
            <w:hyperlink w:anchor="page216">
              <w:r>
                <w:rPr>
                  <w:rFonts w:ascii="Arial" w:cs="Arial" w:eastAsia="Arial" w:hAnsi="Arial"/>
                  <w:sz w:val="13"/>
                  <w:szCs w:val="13"/>
                  <w:color w:val="0000FF"/>
                  <w:w w:val="96"/>
                </w:rPr>
                <w:t>2002</w:t>
              </w:r>
            </w:hyperlink>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311"/>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24"/>
                <w:szCs w:val="24"/>
                <w:color w:val="auto"/>
              </w:rPr>
            </w:pPr>
          </w:p>
        </w:tc>
        <w:tc>
          <w:tcPr>
            <w:tcW w:w="3240" w:type="dxa"/>
            <w:vAlign w:val="bottom"/>
            <w:gridSpan w:val="30"/>
          </w:tcPr>
          <w:p>
            <w:pPr>
              <w:spacing w:after="0"/>
              <w:rPr>
                <w:rFonts w:ascii="Arial" w:cs="Arial" w:eastAsia="Arial" w:hAnsi="Arial"/>
                <w:sz w:val="14"/>
                <w:szCs w:val="14"/>
                <w:color w:val="0000FF"/>
              </w:rPr>
            </w:pPr>
            <w:hyperlink w:anchor="page217">
              <w:r>
                <w:rPr>
                  <w:rFonts w:ascii="Arial" w:cs="Arial" w:eastAsia="Arial" w:hAnsi="Arial"/>
                  <w:sz w:val="14"/>
                  <w:szCs w:val="14"/>
                  <w:color w:val="0000FF"/>
                </w:rPr>
                <w:t>Principal Financial Officer Certification Pursuant to</w:t>
              </w:r>
            </w:hyperlink>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jc w:val="center"/>
              <w:ind w:left="729"/>
              <w:spacing w:after="0"/>
              <w:rPr>
                <w:sz w:val="20"/>
                <w:szCs w:val="20"/>
                <w:color w:val="auto"/>
              </w:rPr>
            </w:pPr>
            <w:r>
              <w:rPr>
                <w:rFonts w:ascii="Arial" w:cs="Arial" w:eastAsia="Arial" w:hAnsi="Arial"/>
                <w:sz w:val="14"/>
                <w:szCs w:val="14"/>
                <w:color w:val="auto"/>
              </w:rPr>
              <w:t>**</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820" w:type="dxa"/>
            <w:vAlign w:val="bottom"/>
            <w:tcBorders>
              <w:top w:val="single" w:sz="8" w:color="0000FF"/>
            </w:tcBorders>
            <w:gridSpan w:val="24"/>
          </w:tcPr>
          <w:p>
            <w:pPr>
              <w:spacing w:after="0" w:line="113" w:lineRule="exact"/>
              <w:rPr>
                <w:rFonts w:ascii="Arial" w:cs="Arial" w:eastAsia="Arial" w:hAnsi="Arial"/>
                <w:sz w:val="13"/>
                <w:szCs w:val="13"/>
                <w:color w:val="0000FF"/>
              </w:rPr>
            </w:pPr>
            <w:hyperlink w:anchor="page217">
              <w:r>
                <w:rPr>
                  <w:rFonts w:ascii="Arial" w:cs="Arial" w:eastAsia="Arial" w:hAnsi="Arial"/>
                  <w:sz w:val="13"/>
                  <w:szCs w:val="13"/>
                  <w:color w:val="0000FF"/>
                </w:rPr>
                <w:t>Section 906 of the Sarbanes Oxley Act of</w:t>
              </w:r>
            </w:hyperlink>
          </w:p>
        </w:tc>
        <w:tc>
          <w:tcPr>
            <w:tcW w:w="80" w:type="dxa"/>
            <w:vAlign w:val="bottom"/>
            <w:gridSpan w:val="4"/>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6"/>
              </w:rPr>
            </w:pPr>
            <w:hyperlink w:anchor="page217">
              <w:r>
                <w:rPr>
                  <w:rFonts w:ascii="Arial" w:cs="Arial" w:eastAsia="Arial" w:hAnsi="Arial"/>
                  <w:sz w:val="13"/>
                  <w:szCs w:val="13"/>
                  <w:color w:val="0000FF"/>
                  <w:w w:val="96"/>
                </w:rPr>
                <w:t>2002</w:t>
              </w:r>
            </w:hyperlink>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311"/>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24"/>
                <w:szCs w:val="24"/>
                <w:color w:val="auto"/>
              </w:rPr>
            </w:pPr>
          </w:p>
        </w:tc>
        <w:tc>
          <w:tcPr>
            <w:tcW w:w="3240" w:type="dxa"/>
            <w:vAlign w:val="bottom"/>
            <w:gridSpan w:val="30"/>
          </w:tcPr>
          <w:p>
            <w:pPr>
              <w:spacing w:after="0"/>
              <w:rPr>
                <w:rFonts w:ascii="Arial" w:cs="Arial" w:eastAsia="Arial" w:hAnsi="Arial"/>
                <w:sz w:val="14"/>
                <w:szCs w:val="14"/>
                <w:color w:val="0000FF"/>
              </w:rPr>
            </w:pPr>
            <w:hyperlink w:anchor="page218">
              <w:r>
                <w:rPr>
                  <w:rFonts w:ascii="Arial" w:cs="Arial" w:eastAsia="Arial" w:hAnsi="Arial"/>
                  <w:sz w:val="14"/>
                  <w:szCs w:val="14"/>
                  <w:color w:val="0000FF"/>
                </w:rPr>
                <w:t>Consent of Kost, Forer, Gabbay &amp; Kasierer, a</w:t>
              </w:r>
            </w:hyperlink>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jc w:val="center"/>
              <w:ind w:left="749"/>
              <w:spacing w:after="0"/>
              <w:rPr>
                <w:sz w:val="20"/>
                <w:szCs w:val="20"/>
                <w:color w:val="auto"/>
              </w:rPr>
            </w:pPr>
            <w:r>
              <w:rPr>
                <w:rFonts w:ascii="Arial" w:cs="Arial" w:eastAsia="Arial" w:hAnsi="Arial"/>
                <w:sz w:val="14"/>
                <w:szCs w:val="14"/>
                <w:color w:val="auto"/>
              </w:rPr>
              <w:t>*</w:t>
            </w: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280" w:type="dxa"/>
            <w:vAlign w:val="bottom"/>
            <w:tcBorders>
              <w:top w:val="single" w:sz="8" w:color="0000FF"/>
              <w:bottom w:val="single" w:sz="8" w:color="0000FF"/>
            </w:tcBorders>
            <w:gridSpan w:val="13"/>
          </w:tcPr>
          <w:p>
            <w:pPr>
              <w:spacing w:after="0" w:line="113" w:lineRule="exact"/>
              <w:rPr>
                <w:rFonts w:ascii="Arial" w:cs="Arial" w:eastAsia="Arial" w:hAnsi="Arial"/>
                <w:sz w:val="13"/>
                <w:szCs w:val="13"/>
                <w:color w:val="0000FF"/>
              </w:rPr>
            </w:pPr>
            <w:hyperlink w:anchor="page218">
              <w:r>
                <w:rPr>
                  <w:rFonts w:ascii="Arial" w:cs="Arial" w:eastAsia="Arial" w:hAnsi="Arial"/>
                  <w:sz w:val="13"/>
                  <w:szCs w:val="13"/>
                  <w:color w:val="0000FF"/>
                </w:rPr>
                <w:t>member of Ernst &amp; Young Global, an</w:t>
              </w:r>
            </w:hyperlink>
          </w:p>
        </w:tc>
        <w:tc>
          <w:tcPr>
            <w:tcW w:w="220" w:type="dxa"/>
            <w:vAlign w:val="bottom"/>
            <w:tcBorders>
              <w:top w:val="single" w:sz="8" w:color="0000FF"/>
            </w:tcBorders>
            <w:gridSpan w:val="2"/>
          </w:tcPr>
          <w:p>
            <w:pPr>
              <w:spacing w:after="0"/>
              <w:rPr>
                <w:sz w:val="9"/>
                <w:szCs w:val="9"/>
                <w:color w:val="auto"/>
              </w:rPr>
            </w:pPr>
          </w:p>
        </w:tc>
        <w:tc>
          <w:tcPr>
            <w:tcW w:w="400" w:type="dxa"/>
            <w:vAlign w:val="bottom"/>
            <w:gridSpan w:val="13"/>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13"/>
        </w:trPr>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tcBorders>
              <w:bottom w:val="single" w:sz="8" w:color="0000FF"/>
            </w:tcBorders>
            <w:gridSpan w:val="26"/>
          </w:tcPr>
          <w:p>
            <w:pPr>
              <w:spacing w:after="0" w:line="113" w:lineRule="exact"/>
              <w:rPr>
                <w:rFonts w:ascii="Arial" w:cs="Arial" w:eastAsia="Arial" w:hAnsi="Arial"/>
                <w:sz w:val="13"/>
                <w:szCs w:val="13"/>
                <w:color w:val="0000FF"/>
              </w:rPr>
            </w:pPr>
            <w:hyperlink w:anchor="page218">
              <w:r>
                <w:rPr>
                  <w:rFonts w:ascii="Arial" w:cs="Arial" w:eastAsia="Arial" w:hAnsi="Arial"/>
                  <w:sz w:val="13"/>
                  <w:szCs w:val="13"/>
                  <w:color w:val="0000FF"/>
                </w:rPr>
                <w:t>independent registered public accounting firm</w:t>
              </w:r>
            </w:hyperlink>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525"/>
        </w:trPr>
        <w:tc>
          <w:tcPr>
            <w:tcW w:w="620" w:type="dxa"/>
            <w:vAlign w:val="bottom"/>
            <w:gridSpan w:val="2"/>
          </w:tcPr>
          <w:p>
            <w:pPr>
              <w:spacing w:after="0"/>
              <w:rPr>
                <w:sz w:val="20"/>
                <w:szCs w:val="20"/>
                <w:color w:val="auto"/>
              </w:rPr>
            </w:pPr>
            <w:r>
              <w:rPr>
                <w:rFonts w:ascii="Arial" w:cs="Arial" w:eastAsia="Arial" w:hAnsi="Arial"/>
                <w:sz w:val="14"/>
                <w:szCs w:val="14"/>
                <w:color w:val="auto"/>
              </w:rPr>
              <w:t>1.INS</w:t>
            </w:r>
          </w:p>
        </w:tc>
        <w:tc>
          <w:tcPr>
            <w:tcW w:w="3240" w:type="dxa"/>
            <w:vAlign w:val="bottom"/>
            <w:gridSpan w:val="30"/>
          </w:tcPr>
          <w:p>
            <w:pPr>
              <w:spacing w:after="0"/>
              <w:rPr>
                <w:sz w:val="20"/>
                <w:szCs w:val="20"/>
                <w:color w:val="auto"/>
              </w:rPr>
            </w:pPr>
            <w:r>
              <w:rPr>
                <w:rFonts w:ascii="Arial" w:cs="Arial" w:eastAsia="Arial" w:hAnsi="Arial"/>
                <w:sz w:val="14"/>
                <w:szCs w:val="14"/>
                <w:color w:val="auto"/>
              </w:rPr>
              <w:t>Inline XBRL Instance Document</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24"/>
        </w:trPr>
        <w:tc>
          <w:tcPr>
            <w:tcW w:w="620" w:type="dxa"/>
            <w:vAlign w:val="bottom"/>
            <w:gridSpan w:val="2"/>
          </w:tcPr>
          <w:p>
            <w:pPr>
              <w:spacing w:after="0"/>
              <w:rPr>
                <w:sz w:val="20"/>
                <w:szCs w:val="20"/>
                <w:color w:val="auto"/>
              </w:rPr>
            </w:pPr>
            <w:r>
              <w:rPr>
                <w:rFonts w:ascii="Arial" w:cs="Arial" w:eastAsia="Arial" w:hAnsi="Arial"/>
                <w:sz w:val="14"/>
                <w:szCs w:val="14"/>
                <w:color w:val="auto"/>
              </w:rPr>
              <w:t>1.SCH</w:t>
            </w:r>
          </w:p>
        </w:tc>
        <w:tc>
          <w:tcPr>
            <w:tcW w:w="3780" w:type="dxa"/>
            <w:vAlign w:val="bottom"/>
            <w:gridSpan w:val="31"/>
          </w:tcPr>
          <w:p>
            <w:pPr>
              <w:spacing w:after="0"/>
              <w:rPr>
                <w:sz w:val="20"/>
                <w:szCs w:val="20"/>
                <w:color w:val="auto"/>
              </w:rPr>
            </w:pPr>
            <w:r>
              <w:rPr>
                <w:rFonts w:ascii="Arial" w:cs="Arial" w:eastAsia="Arial" w:hAnsi="Arial"/>
                <w:sz w:val="14"/>
                <w:szCs w:val="14"/>
                <w:color w:val="auto"/>
              </w:rPr>
              <w:t>Inline XBRL Taxonomy Extension Schema Document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39"/>
          </w:cols>
          <w:pgMar w:left="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166370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39"/>
          </w:cols>
          <w:pgMar w:left="220" w:top="1440" w:right="1440" w:bottom="1440" w:gutter="0" w:footer="0" w:header="0"/>
          <w:type w:val="continuous"/>
        </w:sectPr>
      </w:pPr>
    </w:p>
    <w:bookmarkStart w:id="128" w:name="page129"/>
    <w:bookmarkEnd w:id="128"/>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1.CAL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Calculation Linkbase Document</w:t>
      </w:r>
    </w:p>
    <w:p>
      <w:pPr>
        <w:spacing w:after="0" w:line="200" w:lineRule="exact"/>
        <w:rPr>
          <w:sz w:val="20"/>
          <w:szCs w:val="20"/>
          <w:color w:val="auto"/>
        </w:rPr>
      </w:pPr>
    </w:p>
    <w:p>
      <w:pPr>
        <w:sectPr>
          <w:pgSz w:w="11900" w:h="16838" w:orient="portrait"/>
          <w:cols w:equalWidth="0" w:num="2">
            <w:col w:w="360" w:space="260"/>
            <w:col w:w="10720"/>
          </w:cols>
          <w:pgMar w:left="220" w:top="1440" w:right="33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1.DEF</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Definition Linkbase Document</w:t>
      </w:r>
    </w:p>
    <w:p>
      <w:pPr>
        <w:spacing w:after="0" w:line="200" w:lineRule="exact"/>
        <w:rPr>
          <w:sz w:val="20"/>
          <w:szCs w:val="20"/>
          <w:color w:val="auto"/>
        </w:rPr>
      </w:pPr>
    </w:p>
    <w:p>
      <w:pPr>
        <w:sectPr>
          <w:pgSz w:w="11900" w:h="16838" w:orient="portrait"/>
          <w:cols w:equalWidth="0" w:num="2">
            <w:col w:w="360" w:space="260"/>
            <w:col w:w="10720"/>
          </w:cols>
          <w:pgMar w:left="220" w:top="1440" w:right="3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1.LAB</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Label Linkbase Document</w:t>
      </w:r>
    </w:p>
    <w:p>
      <w:pPr>
        <w:spacing w:after="0" w:line="200" w:lineRule="exact"/>
        <w:rPr>
          <w:sz w:val="20"/>
          <w:szCs w:val="20"/>
          <w:color w:val="auto"/>
        </w:rPr>
      </w:pPr>
    </w:p>
    <w:p>
      <w:pPr>
        <w:sectPr>
          <w:pgSz w:w="11900" w:h="16838" w:orient="portrait"/>
          <w:cols w:equalWidth="0" w:num="2">
            <w:col w:w="340" w:space="280"/>
            <w:col w:w="10720"/>
          </w:cols>
          <w:pgMar w:left="220" w:top="1440" w:right="3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1.PRE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380" w:space="240"/>
            <w:col w:w="10720"/>
          </w:cols>
          <w:pgMar w:left="220" w:top="1440" w:right="339" w:bottom="1440" w:gutter="0" w:footer="0" w:header="0"/>
          <w:type w:val="continuous"/>
        </w:sectPr>
      </w:pPr>
    </w:p>
    <w:p>
      <w:pPr>
        <w:spacing w:after="0" w:line="63" w:lineRule="exact"/>
        <w:rPr>
          <w:sz w:val="20"/>
          <w:szCs w:val="20"/>
          <w:color w:val="auto"/>
        </w:rPr>
      </w:pPr>
    </w:p>
    <w:p>
      <w:pPr>
        <w:ind w:left="620" w:hanging="620"/>
        <w:spacing w:after="0"/>
        <w:tabs>
          <w:tab w:leader="none" w:pos="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Inline XBRL for the cover page of this Annual Report on Form 20-F (embedded within the Inline XBRL document)</w:t>
      </w: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_________________</w:t>
      </w:r>
    </w:p>
    <w:p>
      <w:pPr>
        <w:spacing w:after="0" w:line="38" w:lineRule="exact"/>
        <w:rPr>
          <w:sz w:val="20"/>
          <w:szCs w:val="20"/>
          <w:color w:val="auto"/>
        </w:rPr>
      </w:pPr>
    </w:p>
    <w:p>
      <w:pPr>
        <w:ind w:left="1220" w:hanging="460"/>
        <w:spacing w:after="0"/>
        <w:tabs>
          <w:tab w:leader="none" w:pos="1220" w:val="left"/>
        </w:tabs>
        <w:numPr>
          <w:ilvl w:val="1"/>
          <w:numId w:val="7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37"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1" w:lineRule="exact"/>
        <w:rPr>
          <w:rFonts w:ascii="Arial" w:cs="Arial" w:eastAsia="Arial" w:hAnsi="Arial"/>
          <w:sz w:val="14"/>
          <w:szCs w:val="14"/>
          <w:color w:val="auto"/>
        </w:rPr>
      </w:pPr>
    </w:p>
    <w:p>
      <w:pPr>
        <w:ind w:left="1220"/>
        <w:spacing w:after="0"/>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4" w:lineRule="exact"/>
        <w:rPr>
          <w:rFonts w:ascii="Arial" w:cs="Arial" w:eastAsia="Arial" w:hAnsi="Arial"/>
          <w:sz w:val="14"/>
          <w:szCs w:val="14"/>
          <w:color w:val="auto"/>
        </w:rPr>
      </w:pPr>
    </w:p>
    <w:p>
      <w:pPr>
        <w:ind w:left="900" w:right="660" w:hanging="458"/>
        <w:spacing w:after="0" w:line="225" w:lineRule="auto"/>
        <w:tabs>
          <w:tab w:leader="none" w:pos="1218" w:val="left"/>
        </w:tabs>
        <w:numPr>
          <w:ilvl w:val="0"/>
          <w:numId w:val="77"/>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The Registrant agrees to furnish supplementally a copy of any omitted schedule or exhibit to the SEC upon request.</w:t>
      </w:r>
    </w:p>
    <w:p>
      <w:pPr>
        <w:spacing w:after="0" w:line="43" w:lineRule="exact"/>
        <w:rPr>
          <w:sz w:val="20"/>
          <w:szCs w:val="20"/>
          <w:color w:val="auto"/>
        </w:rPr>
      </w:pPr>
    </w:p>
    <w:p>
      <w:pPr>
        <w:ind w:left="1220" w:hanging="778"/>
        <w:spacing w:after="0"/>
        <w:tabs>
          <w:tab w:leader="none" w:pos="1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244" w:lineRule="exact"/>
        <w:rPr>
          <w:sz w:val="20"/>
          <w:szCs w:val="20"/>
          <w:color w:val="auto"/>
        </w:rPr>
      </w:pPr>
    </w:p>
    <w:p>
      <w:pPr>
        <w:ind w:left="100" w:firstLine="318"/>
        <w:spacing w:after="0" w:line="246" w:lineRule="auto"/>
        <w:rPr>
          <w:sz w:val="20"/>
          <w:szCs w:val="20"/>
          <w:color w:val="auto"/>
        </w:rPr>
      </w:pPr>
      <w:r>
        <w:rPr>
          <w:rFonts w:ascii="Arial" w:cs="Arial" w:eastAsia="Arial" w:hAnsi="Arial"/>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159385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type w:val="continuous"/>
        </w:sectPr>
      </w:pPr>
    </w:p>
    <w:bookmarkStart w:id="129" w:name="page130"/>
    <w:bookmarkEnd w:id="129"/>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6"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RISKIFIED LTD.</w:t>
            </w:r>
          </w:p>
        </w:tc>
        <w:tc>
          <w:tcPr>
            <w:tcW w:w="30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11"/>
        </w:trPr>
        <w:tc>
          <w:tcPr>
            <w:tcW w:w="3500" w:type="dxa"/>
            <w:vAlign w:val="bottom"/>
          </w:tcPr>
          <w:p>
            <w:pPr>
              <w:ind w:left="40"/>
              <w:spacing w:after="0"/>
              <w:rPr>
                <w:sz w:val="20"/>
                <w:szCs w:val="20"/>
                <w:color w:val="auto"/>
              </w:rPr>
            </w:pPr>
            <w:r>
              <w:rPr>
                <w:rFonts w:ascii="Arial" w:cs="Arial" w:eastAsia="Arial" w:hAnsi="Arial"/>
                <w:sz w:val="18"/>
                <w:szCs w:val="18"/>
                <w:color w:val="auto"/>
              </w:rPr>
              <w:t>February 25, 2022</w:t>
            </w:r>
          </w:p>
        </w:tc>
        <w:tc>
          <w:tcPr>
            <w:tcW w:w="3020" w:type="dxa"/>
            <w:vAlign w:val="bottom"/>
          </w:tcPr>
          <w:p>
            <w:pPr>
              <w:ind w:left="200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Eido Gal</w:t>
            </w:r>
          </w:p>
        </w:tc>
      </w:tr>
      <w:tr>
        <w:trPr>
          <w:trHeight w:val="218"/>
        </w:trPr>
        <w:tc>
          <w:tcPr>
            <w:tcW w:w="3500" w:type="dxa"/>
            <w:vAlign w:val="bottom"/>
          </w:tcPr>
          <w:p>
            <w:pPr>
              <w:spacing w:after="0"/>
              <w:rPr>
                <w:sz w:val="19"/>
                <w:szCs w:val="19"/>
                <w:color w:val="auto"/>
              </w:rPr>
            </w:pPr>
          </w:p>
        </w:tc>
        <w:tc>
          <w:tcPr>
            <w:tcW w:w="3020" w:type="dxa"/>
            <w:vAlign w:val="bottom"/>
          </w:tcPr>
          <w:p>
            <w:pPr>
              <w:ind w:left="2000"/>
              <w:spacing w:after="0" w:line="205" w:lineRule="exact"/>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Eido Gal</w:t>
            </w:r>
          </w:p>
        </w:tc>
      </w:tr>
      <w:tr>
        <w:trPr>
          <w:trHeight w:val="225"/>
        </w:trPr>
        <w:tc>
          <w:tcPr>
            <w:tcW w:w="3500" w:type="dxa"/>
            <w:vAlign w:val="bottom"/>
          </w:tcPr>
          <w:p>
            <w:pPr>
              <w:spacing w:after="0"/>
              <w:rPr>
                <w:sz w:val="19"/>
                <w:szCs w:val="19"/>
                <w:color w:val="auto"/>
              </w:rPr>
            </w:pPr>
          </w:p>
        </w:tc>
        <w:tc>
          <w:tcPr>
            <w:tcW w:w="3020" w:type="dxa"/>
            <w:vAlign w:val="bottom"/>
          </w:tcPr>
          <w:p>
            <w:pPr>
              <w:ind w:left="2000"/>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901"/>
        </w:trPr>
        <w:tc>
          <w:tcPr>
            <w:tcW w:w="3500" w:type="dxa"/>
            <w:vAlign w:val="bottom"/>
          </w:tcPr>
          <w:p>
            <w:pPr>
              <w:ind w:left="40"/>
              <w:spacing w:after="0"/>
              <w:rPr>
                <w:sz w:val="20"/>
                <w:szCs w:val="20"/>
                <w:color w:val="auto"/>
              </w:rPr>
            </w:pPr>
            <w:r>
              <w:rPr>
                <w:rFonts w:ascii="Arial" w:cs="Arial" w:eastAsia="Arial" w:hAnsi="Arial"/>
                <w:sz w:val="18"/>
                <w:szCs w:val="18"/>
                <w:color w:val="auto"/>
              </w:rPr>
              <w:t>February 25, 2022</w:t>
            </w:r>
          </w:p>
        </w:tc>
        <w:tc>
          <w:tcPr>
            <w:tcW w:w="3020" w:type="dxa"/>
            <w:vAlign w:val="bottom"/>
          </w:tcPr>
          <w:p>
            <w:pPr>
              <w:ind w:left="200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Aglika Dotcheva</w:t>
            </w:r>
          </w:p>
        </w:tc>
      </w:tr>
      <w:tr>
        <w:trPr>
          <w:trHeight w:val="218"/>
        </w:trPr>
        <w:tc>
          <w:tcPr>
            <w:tcW w:w="3500" w:type="dxa"/>
            <w:vAlign w:val="bottom"/>
          </w:tcPr>
          <w:p>
            <w:pPr>
              <w:spacing w:after="0"/>
              <w:rPr>
                <w:sz w:val="19"/>
                <w:szCs w:val="19"/>
                <w:color w:val="auto"/>
              </w:rPr>
            </w:pPr>
          </w:p>
        </w:tc>
        <w:tc>
          <w:tcPr>
            <w:tcW w:w="3020" w:type="dxa"/>
            <w:vAlign w:val="bottom"/>
          </w:tcPr>
          <w:p>
            <w:pPr>
              <w:ind w:left="2000"/>
              <w:spacing w:after="0" w:line="205" w:lineRule="exact"/>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Aglika Dotcheva</w:t>
            </w:r>
          </w:p>
        </w:tc>
      </w:tr>
      <w:tr>
        <w:trPr>
          <w:trHeight w:val="225"/>
        </w:trPr>
        <w:tc>
          <w:tcPr>
            <w:tcW w:w="3500" w:type="dxa"/>
            <w:vAlign w:val="bottom"/>
          </w:tcPr>
          <w:p>
            <w:pPr>
              <w:spacing w:after="0"/>
              <w:rPr>
                <w:sz w:val="19"/>
                <w:szCs w:val="19"/>
                <w:color w:val="auto"/>
              </w:rPr>
            </w:pPr>
          </w:p>
        </w:tc>
        <w:tc>
          <w:tcPr>
            <w:tcW w:w="3020" w:type="dxa"/>
            <w:vAlign w:val="bottom"/>
          </w:tcPr>
          <w:p>
            <w:pPr>
              <w:ind w:left="2000"/>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95"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RISKIFIED LTD.</w:t>
      </w:r>
    </w:p>
    <w:p>
      <w:pPr>
        <w:spacing w:after="0" w:line="1"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Pag</w:t>
            </w:r>
          </w:p>
        </w:tc>
        <w:tc>
          <w:tcPr>
            <w:tcW w:w="0" w:type="dxa"/>
            <w:vAlign w:val="bottom"/>
          </w:tcPr>
          <w:p>
            <w:pPr>
              <w:spacing w:after="0"/>
              <w:rPr>
                <w:sz w:val="1"/>
                <w:szCs w:val="1"/>
                <w:color w:val="auto"/>
              </w:rPr>
            </w:pPr>
          </w:p>
        </w:tc>
      </w:tr>
      <w:tr>
        <w:trPr>
          <w:trHeight w:val="179"/>
        </w:trPr>
        <w:tc>
          <w:tcPr>
            <w:tcW w:w="9940" w:type="dxa"/>
            <w:vAlign w:val="bottom"/>
            <w:gridSpan w:val="8"/>
          </w:tcPr>
          <w:p>
            <w:pPr>
              <w:spacing w:after="0" w:line="179" w:lineRule="exact"/>
              <w:rPr>
                <w:rFonts w:ascii="Arial" w:cs="Arial" w:eastAsia="Arial" w:hAnsi="Arial"/>
                <w:sz w:val="18"/>
                <w:szCs w:val="18"/>
                <w:color w:val="0000FF"/>
              </w:rPr>
            </w:pPr>
            <w:hyperlink w:anchor="page131">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1281)</w:t>
            </w:r>
          </w:p>
        </w:tc>
        <w:tc>
          <w:tcPr>
            <w:tcW w:w="740" w:type="dxa"/>
            <w:vAlign w:val="bottom"/>
            <w:gridSpan w:val="2"/>
          </w:tcPr>
          <w:p>
            <w:pPr>
              <w:jc w:val="right"/>
              <w:spacing w:after="0" w:line="179" w:lineRule="exact"/>
              <w:rPr>
                <w:rFonts w:ascii="Arial" w:cs="Arial" w:eastAsia="Arial" w:hAnsi="Arial"/>
                <w:sz w:val="18"/>
                <w:szCs w:val="18"/>
                <w:color w:val="0E32E1"/>
              </w:rPr>
            </w:pPr>
            <w:r>
              <w:rPr>
                <w:rFonts w:ascii="Arial" w:cs="Arial" w:eastAsia="Arial" w:hAnsi="Arial"/>
                <w:sz w:val="18"/>
                <w:szCs w:val="18"/>
                <w:color w:val="0E32E1"/>
              </w:rPr>
              <w:t>F-</w:t>
            </w:r>
            <w:hyperlink w:anchor="page131">
              <w:r>
                <w:rPr>
                  <w:rFonts w:ascii="Arial" w:cs="Arial" w:eastAsia="Arial" w:hAnsi="Arial"/>
                  <w:sz w:val="18"/>
                  <w:szCs w:val="18"/>
                  <w:color w:val="0E32E1"/>
                </w:rPr>
                <w:t>2</w:t>
              </w:r>
            </w:hyperlink>
          </w:p>
        </w:tc>
        <w:tc>
          <w:tcPr>
            <w:tcW w:w="0" w:type="dxa"/>
            <w:vAlign w:val="bottom"/>
          </w:tcPr>
          <w:p>
            <w:pPr>
              <w:spacing w:after="0"/>
              <w:rPr>
                <w:sz w:val="1"/>
                <w:szCs w:val="1"/>
                <w:color w:val="auto"/>
              </w:rPr>
            </w:pPr>
          </w:p>
        </w:tc>
      </w:tr>
      <w:tr>
        <w:trPr>
          <w:trHeight w:val="205"/>
        </w:trPr>
        <w:tc>
          <w:tcPr>
            <w:tcW w:w="232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97"/>
              </w:rPr>
            </w:pPr>
            <w:hyperlink w:anchor="page132">
              <w:r>
                <w:rPr>
                  <w:rFonts w:ascii="Arial" w:cs="Arial" w:eastAsia="Arial" w:hAnsi="Arial"/>
                  <w:sz w:val="18"/>
                  <w:szCs w:val="18"/>
                  <w:color w:val="0000FF"/>
                  <w:w w:val="97"/>
                </w:rPr>
                <w:t>Consolidated Balance Sheets</w:t>
              </w:r>
            </w:hyperlink>
          </w:p>
        </w:tc>
        <w:tc>
          <w:tcPr>
            <w:tcW w:w="2200" w:type="dxa"/>
            <w:vAlign w:val="bottom"/>
            <w:tcBorders>
              <w:top w:val="single" w:sz="8" w:color="0000FF"/>
            </w:tcBorders>
            <w:gridSpan w:val="5"/>
          </w:tcPr>
          <w:p>
            <w:pPr>
              <w:spacing w:after="0"/>
              <w:rPr>
                <w:sz w:val="17"/>
                <w:szCs w:val="17"/>
                <w:color w:val="auto"/>
              </w:rPr>
            </w:pPr>
          </w:p>
        </w:tc>
        <w:tc>
          <w:tcPr>
            <w:tcW w:w="5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top w:val="single" w:sz="8" w:color="0E32E1"/>
              <w:bottom w:val="single" w:sz="8" w:color="0E32E1"/>
            </w:tcBorders>
          </w:tcPr>
          <w:p>
            <w:pPr>
              <w:jc w:val="right"/>
              <w:spacing w:after="0" w:line="205" w:lineRule="exact"/>
              <w:rPr>
                <w:rFonts w:ascii="Arial" w:cs="Arial" w:eastAsia="Arial" w:hAnsi="Arial"/>
                <w:sz w:val="18"/>
                <w:szCs w:val="18"/>
                <w:color w:val="0E32E1"/>
                <w:w w:val="81"/>
              </w:rPr>
            </w:pPr>
            <w:r>
              <w:rPr>
                <w:rFonts w:ascii="Arial" w:cs="Arial" w:eastAsia="Arial" w:hAnsi="Arial"/>
                <w:sz w:val="18"/>
                <w:szCs w:val="18"/>
                <w:color w:val="0E32E1"/>
                <w:w w:val="81"/>
              </w:rPr>
              <w:t>F-</w:t>
            </w:r>
            <w:hyperlink w:anchor="page132">
              <w:r>
                <w:rPr>
                  <w:rFonts w:ascii="Arial" w:cs="Arial" w:eastAsia="Arial" w:hAnsi="Arial"/>
                  <w:sz w:val="18"/>
                  <w:szCs w:val="18"/>
                  <w:color w:val="0E32E1"/>
                  <w:w w:val="81"/>
                </w:rPr>
                <w:t>3</w:t>
              </w:r>
            </w:hyperlink>
          </w:p>
        </w:tc>
        <w:tc>
          <w:tcPr>
            <w:tcW w:w="0" w:type="dxa"/>
            <w:vAlign w:val="bottom"/>
          </w:tcPr>
          <w:p>
            <w:pPr>
              <w:spacing w:after="0"/>
              <w:rPr>
                <w:sz w:val="1"/>
                <w:szCs w:val="1"/>
                <w:color w:val="auto"/>
              </w:rPr>
            </w:pPr>
          </w:p>
        </w:tc>
      </w:tr>
      <w:tr>
        <w:trPr>
          <w:trHeight w:val="225"/>
        </w:trPr>
        <w:tc>
          <w:tcPr>
            <w:tcW w:w="3000" w:type="dxa"/>
            <w:vAlign w:val="bottom"/>
            <w:tcBorders>
              <w:bottom w:val="single" w:sz="8" w:color="0000FF"/>
            </w:tcBorders>
            <w:gridSpan w:val="2"/>
          </w:tcPr>
          <w:p>
            <w:pPr>
              <w:spacing w:after="0" w:line="205" w:lineRule="exact"/>
              <w:rPr>
                <w:rFonts w:ascii="Arial" w:cs="Arial" w:eastAsia="Arial" w:hAnsi="Arial"/>
                <w:sz w:val="18"/>
                <w:szCs w:val="18"/>
                <w:color w:val="0000FF"/>
                <w:w w:val="97"/>
              </w:rPr>
            </w:pPr>
            <w:hyperlink w:anchor="page133">
              <w:r>
                <w:rPr>
                  <w:rFonts w:ascii="Arial" w:cs="Arial" w:eastAsia="Arial" w:hAnsi="Arial"/>
                  <w:sz w:val="18"/>
                  <w:szCs w:val="18"/>
                  <w:color w:val="0000FF"/>
                  <w:w w:val="97"/>
                </w:rPr>
                <w:t>Consolidated Statement of Operations</w:t>
              </w:r>
            </w:hyperlink>
          </w:p>
        </w:tc>
        <w:tc>
          <w:tcPr>
            <w:tcW w:w="6940" w:type="dxa"/>
            <w:vAlign w:val="bottom"/>
            <w:gridSpan w:val="6"/>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0E32E1"/>
            </w:tcBorders>
          </w:tcPr>
          <w:p>
            <w:pPr>
              <w:jc w:val="right"/>
              <w:spacing w:after="0" w:line="205" w:lineRule="exact"/>
              <w:rPr>
                <w:rFonts w:ascii="Arial" w:cs="Arial" w:eastAsia="Arial" w:hAnsi="Arial"/>
                <w:sz w:val="18"/>
                <w:szCs w:val="18"/>
                <w:color w:val="0E32E1"/>
                <w:w w:val="81"/>
              </w:rPr>
            </w:pPr>
            <w:r>
              <w:rPr>
                <w:rFonts w:ascii="Arial" w:cs="Arial" w:eastAsia="Arial" w:hAnsi="Arial"/>
                <w:sz w:val="18"/>
                <w:szCs w:val="18"/>
                <w:color w:val="0E32E1"/>
                <w:w w:val="81"/>
              </w:rPr>
              <w:t>F-</w:t>
            </w:r>
            <w:hyperlink w:anchor="page133">
              <w:r>
                <w:rPr>
                  <w:rFonts w:ascii="Arial" w:cs="Arial" w:eastAsia="Arial" w:hAnsi="Arial"/>
                  <w:sz w:val="18"/>
                  <w:szCs w:val="18"/>
                  <w:color w:val="0E32E1"/>
                  <w:w w:val="81"/>
                </w:rPr>
                <w:t>4</w:t>
              </w:r>
            </w:hyperlink>
          </w:p>
        </w:tc>
        <w:tc>
          <w:tcPr>
            <w:tcW w:w="0" w:type="dxa"/>
            <w:vAlign w:val="bottom"/>
          </w:tcPr>
          <w:p>
            <w:pPr>
              <w:spacing w:after="0"/>
              <w:rPr>
                <w:sz w:val="1"/>
                <w:szCs w:val="1"/>
                <w:color w:val="auto"/>
              </w:rPr>
            </w:pPr>
          </w:p>
        </w:tc>
      </w:tr>
      <w:tr>
        <w:trPr>
          <w:trHeight w:val="199"/>
        </w:trPr>
        <w:tc>
          <w:tcPr>
            <w:tcW w:w="4460" w:type="dxa"/>
            <w:vAlign w:val="bottom"/>
            <w:gridSpan w:val="5"/>
            <w:vMerge w:val="restart"/>
          </w:tcPr>
          <w:p>
            <w:pPr>
              <w:spacing w:after="0"/>
              <w:rPr>
                <w:rFonts w:ascii="Arial" w:cs="Arial" w:eastAsia="Arial" w:hAnsi="Arial"/>
                <w:sz w:val="18"/>
                <w:szCs w:val="18"/>
                <w:color w:val="0000FF"/>
                <w:w w:val="97"/>
              </w:rPr>
            </w:pPr>
            <w:hyperlink w:anchor="page134">
              <w:r>
                <w:rPr>
                  <w:rFonts w:ascii="Arial" w:cs="Arial" w:eastAsia="Arial" w:hAnsi="Arial"/>
                  <w:sz w:val="18"/>
                  <w:szCs w:val="18"/>
                  <w:color w:val="0000FF"/>
                  <w:w w:val="97"/>
                </w:rPr>
                <w:t>Consolidated Statements of Comprehensive Profit (Loss)</w:t>
              </w:r>
            </w:hyperlink>
          </w:p>
        </w:tc>
        <w:tc>
          <w:tcPr>
            <w:tcW w:w="5480" w:type="dxa"/>
            <w:vAlign w:val="bottom"/>
            <w:gridSpan w:val="3"/>
            <w:vMerge w:val="restart"/>
          </w:tcPr>
          <w:p>
            <w:pPr>
              <w:spacing w:after="0"/>
              <w:rPr>
                <w:sz w:val="17"/>
                <w:szCs w:val="17"/>
                <w:color w:val="auto"/>
              </w:rPr>
            </w:pPr>
          </w:p>
        </w:tc>
        <w:tc>
          <w:tcPr>
            <w:tcW w:w="740" w:type="dxa"/>
            <w:vAlign w:val="bottom"/>
            <w:gridSpan w:val="2"/>
          </w:tcPr>
          <w:p>
            <w:pPr>
              <w:jc w:val="right"/>
              <w:spacing w:after="0" w:line="199" w:lineRule="exact"/>
              <w:rPr>
                <w:rFonts w:ascii="Arial" w:cs="Arial" w:eastAsia="Arial" w:hAnsi="Arial"/>
                <w:sz w:val="18"/>
                <w:szCs w:val="18"/>
                <w:color w:val="0E32E1"/>
              </w:rPr>
            </w:pPr>
            <w:r>
              <w:rPr>
                <w:rFonts w:ascii="Arial" w:cs="Arial" w:eastAsia="Arial" w:hAnsi="Arial"/>
                <w:sz w:val="18"/>
                <w:szCs w:val="18"/>
                <w:color w:val="0E32E1"/>
              </w:rPr>
              <w:t>F-</w:t>
            </w:r>
            <w:hyperlink w:anchor="page134">
              <w:r>
                <w:rPr>
                  <w:rFonts w:ascii="Arial" w:cs="Arial" w:eastAsia="Arial" w:hAnsi="Arial"/>
                  <w:sz w:val="18"/>
                  <w:szCs w:val="18"/>
                  <w:color w:val="0E32E1"/>
                </w:rPr>
                <w:t>5</w:t>
              </w:r>
            </w:hyperlink>
          </w:p>
        </w:tc>
        <w:tc>
          <w:tcPr>
            <w:tcW w:w="0" w:type="dxa"/>
            <w:vAlign w:val="bottom"/>
          </w:tcPr>
          <w:p>
            <w:pPr>
              <w:spacing w:after="0"/>
              <w:rPr>
                <w:sz w:val="1"/>
                <w:szCs w:val="1"/>
                <w:color w:val="auto"/>
              </w:rPr>
            </w:pPr>
          </w:p>
        </w:tc>
      </w:tr>
      <w:tr>
        <w:trPr>
          <w:trHeight w:val="170"/>
        </w:trPr>
        <w:tc>
          <w:tcPr>
            <w:tcW w:w="4460" w:type="dxa"/>
            <w:vAlign w:val="bottom"/>
            <w:tcBorders>
              <w:bottom w:val="single" w:sz="8" w:color="0000FF"/>
            </w:tcBorders>
            <w:gridSpan w:val="5"/>
            <w:vMerge w:val="continue"/>
          </w:tcPr>
          <w:p>
            <w:pPr>
              <w:spacing w:after="0"/>
              <w:rPr>
                <w:sz w:val="14"/>
                <w:szCs w:val="14"/>
                <w:color w:val="auto"/>
              </w:rPr>
            </w:pPr>
          </w:p>
        </w:tc>
        <w:tc>
          <w:tcPr>
            <w:tcW w:w="54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top w:val="single" w:sz="8" w:color="0E32E1"/>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940" w:type="dxa"/>
            <w:vAlign w:val="bottom"/>
            <w:gridSpan w:val="8"/>
          </w:tcPr>
          <w:p>
            <w:pPr>
              <w:spacing w:after="0" w:line="205" w:lineRule="exact"/>
              <w:rPr>
                <w:rFonts w:ascii="Arial" w:cs="Arial" w:eastAsia="Arial" w:hAnsi="Arial"/>
                <w:sz w:val="18"/>
                <w:szCs w:val="18"/>
                <w:color w:val="0000FF"/>
              </w:rPr>
            </w:pPr>
            <w:hyperlink w:anchor="page135">
              <w:r>
                <w:rPr>
                  <w:rFonts w:ascii="Arial" w:cs="Arial" w:eastAsia="Arial" w:hAnsi="Arial"/>
                  <w:sz w:val="18"/>
                  <w:szCs w:val="18"/>
                  <w:color w:val="0000FF"/>
                </w:rPr>
                <w:t>Consolidated Statements of Convertible Preferred Shares and Shareholders’ Equity (Deficit)</w:t>
              </w:r>
            </w:hyperlink>
          </w:p>
        </w:tc>
        <w:tc>
          <w:tcPr>
            <w:tcW w:w="740" w:type="dxa"/>
            <w:vAlign w:val="bottom"/>
            <w:gridSpan w:val="2"/>
          </w:tcPr>
          <w:p>
            <w:pPr>
              <w:jc w:val="right"/>
              <w:spacing w:after="0" w:line="205" w:lineRule="exact"/>
              <w:rPr>
                <w:rFonts w:ascii="Arial" w:cs="Arial" w:eastAsia="Arial" w:hAnsi="Arial"/>
                <w:sz w:val="18"/>
                <w:szCs w:val="18"/>
                <w:color w:val="0E32E1"/>
              </w:rPr>
            </w:pPr>
            <w:r>
              <w:rPr>
                <w:rFonts w:ascii="Arial" w:cs="Arial" w:eastAsia="Arial" w:hAnsi="Arial"/>
                <w:sz w:val="18"/>
                <w:szCs w:val="18"/>
                <w:color w:val="0E32E1"/>
              </w:rPr>
              <w:t>F-</w:t>
            </w:r>
            <w:hyperlink w:anchor="page135">
              <w:r>
                <w:rPr>
                  <w:rFonts w:ascii="Arial" w:cs="Arial" w:eastAsia="Arial" w:hAnsi="Arial"/>
                  <w:sz w:val="18"/>
                  <w:szCs w:val="18"/>
                  <w:color w:val="0E32E1"/>
                </w:rPr>
                <w:t>6</w:t>
              </w:r>
            </w:hyperlink>
          </w:p>
        </w:tc>
        <w:tc>
          <w:tcPr>
            <w:tcW w:w="0" w:type="dxa"/>
            <w:vAlign w:val="bottom"/>
          </w:tcPr>
          <w:p>
            <w:pPr>
              <w:spacing w:after="0"/>
              <w:rPr>
                <w:sz w:val="1"/>
                <w:szCs w:val="1"/>
                <w:color w:val="auto"/>
              </w:rPr>
            </w:pPr>
          </w:p>
        </w:tc>
      </w:tr>
      <w:tr>
        <w:trPr>
          <w:trHeight w:val="205"/>
        </w:trPr>
        <w:tc>
          <w:tcPr>
            <w:tcW w:w="7180" w:type="dxa"/>
            <w:vAlign w:val="bottom"/>
            <w:tcBorders>
              <w:top w:val="single" w:sz="8" w:color="0000FF"/>
            </w:tcBorders>
            <w:gridSpan w:val="7"/>
          </w:tcPr>
          <w:p>
            <w:pPr>
              <w:spacing w:after="0" w:line="205" w:lineRule="exact"/>
              <w:rPr>
                <w:rFonts w:ascii="Arial" w:cs="Arial" w:eastAsia="Arial" w:hAnsi="Arial"/>
                <w:sz w:val="18"/>
                <w:szCs w:val="18"/>
                <w:color w:val="0000FF"/>
              </w:rPr>
            </w:pPr>
            <w:hyperlink w:anchor="page137">
              <w:r>
                <w:rPr>
                  <w:rFonts w:ascii="Arial" w:cs="Arial" w:eastAsia="Arial" w:hAnsi="Arial"/>
                  <w:sz w:val="18"/>
                  <w:szCs w:val="18"/>
                  <w:color w:val="0000FF"/>
                </w:rPr>
                <w:t>Consolidated Statements of Cash Flows</w:t>
              </w:r>
            </w:hyperlink>
          </w:p>
        </w:tc>
        <w:tc>
          <w:tcPr>
            <w:tcW w:w="2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top w:val="single" w:sz="8" w:color="0E32E1"/>
            </w:tcBorders>
          </w:tcPr>
          <w:p>
            <w:pPr>
              <w:jc w:val="right"/>
              <w:spacing w:after="0" w:line="205" w:lineRule="exact"/>
              <w:rPr>
                <w:rFonts w:ascii="Arial" w:cs="Arial" w:eastAsia="Arial" w:hAnsi="Arial"/>
                <w:sz w:val="18"/>
                <w:szCs w:val="18"/>
                <w:color w:val="0E32E1"/>
                <w:w w:val="81"/>
              </w:rPr>
            </w:pPr>
            <w:r>
              <w:rPr>
                <w:rFonts w:ascii="Arial" w:cs="Arial" w:eastAsia="Arial" w:hAnsi="Arial"/>
                <w:sz w:val="18"/>
                <w:szCs w:val="18"/>
                <w:color w:val="0E32E1"/>
                <w:w w:val="81"/>
              </w:rPr>
              <w:t>F-</w:t>
            </w:r>
            <w:hyperlink w:anchor="page137">
              <w:r>
                <w:rPr>
                  <w:rFonts w:ascii="Arial" w:cs="Arial" w:eastAsia="Arial" w:hAnsi="Arial"/>
                  <w:sz w:val="18"/>
                  <w:szCs w:val="18"/>
                  <w:color w:val="0E32E1"/>
                  <w:w w:val="81"/>
                </w:rPr>
                <w:t>7</w:t>
              </w:r>
            </w:hyperlink>
          </w:p>
        </w:tc>
        <w:tc>
          <w:tcPr>
            <w:tcW w:w="0" w:type="dxa"/>
            <w:vAlign w:val="bottom"/>
          </w:tcPr>
          <w:p>
            <w:pPr>
              <w:spacing w:after="0"/>
              <w:rPr>
                <w:sz w:val="1"/>
                <w:szCs w:val="1"/>
                <w:color w:val="auto"/>
              </w:rPr>
            </w:pPr>
          </w:p>
        </w:tc>
      </w:tr>
      <w:tr>
        <w:trPr>
          <w:trHeight w:val="20"/>
        </w:trPr>
        <w:tc>
          <w:tcPr>
            <w:tcW w:w="31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40" w:type="dxa"/>
            <w:vAlign w:val="bottom"/>
            <w:tcBorders>
              <w:bottom w:val="single" w:sz="8" w:color="0000FF"/>
            </w:tcBorders>
            <w:gridSpan w:val="4"/>
          </w:tcPr>
          <w:p>
            <w:pPr>
              <w:spacing w:after="0" w:line="205" w:lineRule="exact"/>
              <w:rPr>
                <w:rFonts w:ascii="Arial" w:cs="Arial" w:eastAsia="Arial" w:hAnsi="Arial"/>
                <w:sz w:val="18"/>
                <w:szCs w:val="18"/>
                <w:color w:val="0000FF"/>
                <w:w w:val="97"/>
              </w:rPr>
            </w:pPr>
            <w:hyperlink w:anchor="page140">
              <w:r>
                <w:rPr>
                  <w:rFonts w:ascii="Arial" w:cs="Arial" w:eastAsia="Arial" w:hAnsi="Arial"/>
                  <w:sz w:val="18"/>
                  <w:szCs w:val="18"/>
                  <w:color w:val="0000FF"/>
                  <w:w w:val="97"/>
                </w:rPr>
                <w:t>Notes to Consolidated Financial Statements</w:t>
              </w:r>
            </w:hyperlink>
          </w:p>
        </w:tc>
        <w:tc>
          <w:tcPr>
            <w:tcW w:w="65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bottom w:val="single" w:sz="8" w:color="0E32E1"/>
            </w:tcBorders>
          </w:tcPr>
          <w:p>
            <w:pPr>
              <w:jc w:val="right"/>
              <w:spacing w:after="0" w:line="205" w:lineRule="exact"/>
              <w:rPr>
                <w:rFonts w:ascii="Arial" w:cs="Arial" w:eastAsia="Arial" w:hAnsi="Arial"/>
                <w:sz w:val="18"/>
                <w:szCs w:val="18"/>
                <w:color w:val="0E32E1"/>
                <w:w w:val="81"/>
              </w:rPr>
            </w:pPr>
            <w:r>
              <w:rPr>
                <w:rFonts w:ascii="Arial" w:cs="Arial" w:eastAsia="Arial" w:hAnsi="Arial"/>
                <w:sz w:val="18"/>
                <w:szCs w:val="18"/>
                <w:color w:val="0E32E1"/>
                <w:w w:val="81"/>
              </w:rPr>
              <w:t>F-</w:t>
            </w:r>
            <w:hyperlink w:anchor="page140">
              <w:r>
                <w:rPr>
                  <w:rFonts w:ascii="Arial" w:cs="Arial" w:eastAsia="Arial" w:hAnsi="Arial"/>
                  <w:sz w:val="18"/>
                  <w:szCs w:val="18"/>
                  <w:color w:val="0E32E1"/>
                  <w:w w:val="81"/>
                </w:rPr>
                <w:t>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159385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80"/>
          </w:cols>
          <w:pgMar w:left="980" w:top="1440" w:right="239" w:bottom="1440" w:gutter="0" w:footer="0" w:header="0"/>
        </w:sectPr>
      </w:pPr>
    </w:p>
    <w:bookmarkStart w:id="131" w:name="page132"/>
    <w:bookmarkEnd w:id="131"/>
    <w:p>
      <w:pPr>
        <w:spacing w:after="0" w:line="10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the Shareholders and the Board of Directors of Riskified Ltd.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have audited the accompanying consolidated balance sheets of Riskified Ltd. (the “Company”) as of December 31, 2021 and 2020, the related consolidated statements of operations, comprehensive profit (loss), convertible preferred shares and shareholders’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spacing w:after="0" w:line="15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7140"/>
        <w:spacing w:after="0"/>
        <w:rPr>
          <w:sz w:val="20"/>
          <w:szCs w:val="20"/>
          <w:color w:val="auto"/>
        </w:rPr>
      </w:pPr>
      <w:r>
        <w:rPr>
          <w:rFonts w:ascii="Arial" w:cs="Arial" w:eastAsia="Arial" w:hAnsi="Arial"/>
          <w:sz w:val="19"/>
          <w:szCs w:val="19"/>
          <w:u w:val="single" w:color="auto"/>
          <w:color w:val="auto"/>
        </w:rPr>
        <w:t>/s/ KOST FORER GABBAY &amp; KASIERER</w:t>
      </w:r>
    </w:p>
    <w:p>
      <w:pPr>
        <w:spacing w:after="0" w:line="47" w:lineRule="exact"/>
        <w:rPr>
          <w:sz w:val="20"/>
          <w:szCs w:val="20"/>
          <w:color w:val="auto"/>
        </w:rPr>
      </w:pPr>
    </w:p>
    <w:p>
      <w:pPr>
        <w:jc w:val="center"/>
        <w:ind w:left="7140"/>
        <w:spacing w:after="0"/>
        <w:rPr>
          <w:sz w:val="20"/>
          <w:szCs w:val="20"/>
          <w:color w:val="auto"/>
        </w:rPr>
      </w:pPr>
      <w:r>
        <w:rPr>
          <w:rFonts w:ascii="Arial" w:cs="Arial" w:eastAsia="Arial" w:hAnsi="Arial"/>
          <w:sz w:val="19"/>
          <w:szCs w:val="19"/>
          <w:color w:val="auto"/>
        </w:rPr>
        <w:t>A Member of Ernst &amp; Young Global</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served as the Company’s auditor since 2014.</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Tel-Aviv, Israel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As of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7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w w:val="99"/>
              </w:rPr>
              <w:t>2020</w:t>
            </w:r>
          </w:p>
        </w:tc>
      </w:tr>
      <w:tr>
        <w:trPr>
          <w:trHeight w:val="205"/>
        </w:trPr>
        <w:tc>
          <w:tcPr>
            <w:tcW w:w="7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418,143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103,609</w:t>
            </w:r>
          </w:p>
        </w:tc>
      </w:tr>
      <w:tr>
        <w:trPr>
          <w:trHeight w:val="225"/>
        </w:trPr>
        <w:tc>
          <w:tcPr>
            <w:tcW w:w="720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3,048</w:t>
            </w:r>
          </w:p>
        </w:tc>
      </w:tr>
      <w:tr>
        <w:trPr>
          <w:trHeight w:val="226"/>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deposits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r>
      <w:tr>
        <w:trPr>
          <w:trHeight w:val="225"/>
        </w:trPr>
        <w:tc>
          <w:tcPr>
            <w:tcW w:w="72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35,477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37,194</w:t>
            </w:r>
          </w:p>
        </w:tc>
      </w:tr>
      <w:tr>
        <w:trPr>
          <w:trHeight w:val="225"/>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r>
      <w:tr>
        <w:trPr>
          <w:trHeight w:val="218"/>
        </w:trPr>
        <w:tc>
          <w:tcPr>
            <w:tcW w:w="72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565,074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163,499</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r>
      <w:tr>
        <w:trPr>
          <w:trHeight w:val="225"/>
        </w:trPr>
        <w:tc>
          <w:tcPr>
            <w:tcW w:w="7200" w:type="dxa"/>
            <w:vAlign w:val="bottom"/>
          </w:tcPr>
          <w:p>
            <w:pPr>
              <w:ind w:left="20"/>
              <w:spacing w:after="0"/>
              <w:rPr>
                <w:sz w:val="20"/>
                <w:szCs w:val="20"/>
                <w:color w:val="auto"/>
              </w:rPr>
            </w:pPr>
            <w:r>
              <w:rPr>
                <w:rFonts w:ascii="Arial" w:cs="Arial" w:eastAsia="Arial" w:hAnsi="Arial"/>
                <w:sz w:val="18"/>
                <w:szCs w:val="18"/>
                <w:color w:val="auto"/>
              </w:rPr>
              <w:t>Deferred contract acquisition costs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11,630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6,983</w:t>
            </w:r>
          </w:p>
        </w:tc>
      </w:tr>
      <w:tr>
        <w:trPr>
          <w:trHeight w:val="22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r>
      <w:tr>
        <w:trPr>
          <w:trHeight w:val="219"/>
        </w:trPr>
        <w:tc>
          <w:tcPr>
            <w:tcW w:w="72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18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600,634</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180,561</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72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Convertible Preferred Shares, and Shareholders’ Equity (Deficit)</w:t>
            </w:r>
          </w:p>
        </w:tc>
        <w:tc>
          <w:tcPr>
            <w:tcW w:w="1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25"/>
        </w:trPr>
        <w:tc>
          <w:tcPr>
            <w:tcW w:w="720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24,748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15,548</w:t>
            </w:r>
          </w:p>
        </w:tc>
      </w:tr>
      <w:tr>
        <w:trPr>
          <w:trHeight w:val="226"/>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Guarantee obligations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r>
      <w:tr>
        <w:trPr>
          <w:trHeight w:val="225"/>
        </w:trPr>
        <w:tc>
          <w:tcPr>
            <w:tcW w:w="7200" w:type="dxa"/>
            <w:vAlign w:val="bottom"/>
          </w:tcPr>
          <w:p>
            <w:pPr>
              <w:ind w:left="240"/>
              <w:spacing w:after="0"/>
              <w:rPr>
                <w:sz w:val="20"/>
                <w:szCs w:val="20"/>
                <w:color w:val="auto"/>
              </w:rPr>
            </w:pPr>
            <w:r>
              <w:rPr>
                <w:rFonts w:ascii="Arial" w:cs="Arial" w:eastAsia="Arial" w:hAnsi="Arial"/>
                <w:sz w:val="18"/>
                <w:szCs w:val="18"/>
                <w:color w:val="auto"/>
              </w:rPr>
              <w:t>Provision for chargebacks, net</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12,020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10,582</w:t>
            </w:r>
          </w:p>
        </w:tc>
      </w:tr>
      <w:tr>
        <w:trPr>
          <w:trHeight w:val="225"/>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r>
      <w:tr>
        <w:trPr>
          <w:trHeight w:val="219"/>
        </w:trPr>
        <w:tc>
          <w:tcPr>
            <w:tcW w:w="72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62,414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51,921</w:t>
            </w:r>
          </w:p>
        </w:tc>
      </w:tr>
      <w:tr>
        <w:trPr>
          <w:trHeight w:val="22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w:t>
            </w:r>
          </w:p>
        </w:tc>
      </w:tr>
      <w:tr>
        <w:trPr>
          <w:trHeight w:val="218"/>
        </w:trPr>
        <w:tc>
          <w:tcPr>
            <w:tcW w:w="720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71,773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64,306</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5"/>
        </w:trPr>
        <w:tc>
          <w:tcPr>
            <w:tcW w:w="7200" w:type="dxa"/>
            <w:vAlign w:val="bottom"/>
          </w:tcPr>
          <w:p>
            <w:pPr>
              <w:ind w:left="20"/>
              <w:spacing w:after="0" w:line="185" w:lineRule="exact"/>
              <w:rPr>
                <w:sz w:val="20"/>
                <w:szCs w:val="20"/>
                <w:color w:val="auto"/>
              </w:rPr>
            </w:pPr>
            <w:r>
              <w:rPr>
                <w:rFonts w:ascii="Arial" w:cs="Arial" w:eastAsia="Arial" w:hAnsi="Arial"/>
                <w:sz w:val="18"/>
                <w:szCs w:val="18"/>
                <w:color w:val="auto"/>
              </w:rPr>
              <w:t>Convertible preferred shares, no par value and NIS 0.0008 par value per share as of</w:t>
            </w: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2"/>
        </w:trPr>
        <w:tc>
          <w:tcPr>
            <w:tcW w:w="7200" w:type="dxa"/>
            <w:vAlign w:val="bottom"/>
          </w:tcPr>
          <w:p>
            <w:pPr>
              <w:ind w:left="180"/>
              <w:spacing w:after="0" w:line="172" w:lineRule="exact"/>
              <w:rPr>
                <w:sz w:val="20"/>
                <w:szCs w:val="20"/>
                <w:color w:val="auto"/>
              </w:rPr>
            </w:pPr>
            <w:r>
              <w:rPr>
                <w:rFonts w:ascii="Arial" w:cs="Arial" w:eastAsia="Arial" w:hAnsi="Arial"/>
                <w:sz w:val="18"/>
                <w:szCs w:val="18"/>
                <w:color w:val="auto"/>
                <w:w w:val="98"/>
              </w:rPr>
              <w:t>December 31, 2021 and 2020, respectively; zero and 33,295,097 shares authorized as of</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7200" w:type="dxa"/>
            <w:vAlign w:val="bottom"/>
          </w:tcPr>
          <w:p>
            <w:pPr>
              <w:ind w:left="180"/>
              <w:spacing w:after="0" w:line="172" w:lineRule="exact"/>
              <w:rPr>
                <w:sz w:val="20"/>
                <w:szCs w:val="20"/>
                <w:color w:val="auto"/>
              </w:rPr>
            </w:pPr>
            <w:r>
              <w:rPr>
                <w:rFonts w:ascii="Arial" w:cs="Arial" w:eastAsia="Arial" w:hAnsi="Arial"/>
                <w:sz w:val="18"/>
                <w:szCs w:val="18"/>
                <w:color w:val="auto"/>
              </w:rPr>
              <w:t>December 31, 2021 and 2020, respectively; zero and 29,878,116 shares issued and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7200" w:type="dxa"/>
            <w:vAlign w:val="bottom"/>
          </w:tcPr>
          <w:p>
            <w:pPr>
              <w:ind w:left="180"/>
              <w:spacing w:after="0" w:line="172" w:lineRule="exact"/>
              <w:rPr>
                <w:sz w:val="20"/>
                <w:szCs w:val="20"/>
                <w:color w:val="auto"/>
              </w:rPr>
            </w:pPr>
            <w:r>
              <w:rPr>
                <w:rFonts w:ascii="Arial" w:cs="Arial" w:eastAsia="Arial" w:hAnsi="Arial"/>
                <w:sz w:val="18"/>
                <w:szCs w:val="18"/>
                <w:color w:val="auto"/>
              </w:rPr>
              <w:t>outstanding as of December 31, 2021 and 2020, respectively; aggregate liquidation</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2"/>
        </w:trPr>
        <w:tc>
          <w:tcPr>
            <w:tcW w:w="7200" w:type="dxa"/>
            <w:vAlign w:val="bottom"/>
          </w:tcPr>
          <w:p>
            <w:pPr>
              <w:ind w:left="180"/>
              <w:spacing w:after="0"/>
              <w:rPr>
                <w:sz w:val="20"/>
                <w:szCs w:val="20"/>
                <w:color w:val="auto"/>
              </w:rPr>
            </w:pPr>
            <w:r>
              <w:rPr>
                <w:rFonts w:ascii="Arial" w:cs="Arial" w:eastAsia="Arial" w:hAnsi="Arial"/>
                <w:sz w:val="18"/>
                <w:szCs w:val="18"/>
                <w:color w:val="auto"/>
              </w:rPr>
              <w:t>preference of zero and $165,558 as of December 31, 2021 and 2020, respectively</w:t>
            </w:r>
          </w:p>
        </w:tc>
        <w:tc>
          <w:tcPr>
            <w:tcW w:w="1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159,564</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 (deficit):</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5"/>
        </w:trPr>
        <w:tc>
          <w:tcPr>
            <w:tcW w:w="7200" w:type="dxa"/>
            <w:vAlign w:val="bottom"/>
          </w:tcPr>
          <w:p>
            <w:pPr>
              <w:ind w:left="240"/>
              <w:spacing w:after="0" w:line="185" w:lineRule="exact"/>
              <w:rPr>
                <w:sz w:val="20"/>
                <w:szCs w:val="20"/>
                <w:color w:val="auto"/>
              </w:rPr>
            </w:pPr>
            <w:r>
              <w:rPr>
                <w:rFonts w:ascii="Arial" w:cs="Arial" w:eastAsia="Arial" w:hAnsi="Arial"/>
                <w:sz w:val="18"/>
                <w:szCs w:val="18"/>
                <w:color w:val="auto"/>
              </w:rPr>
              <w:t>Class A ordinary shares, no par value and NIS 0.0008 par value per share as of</w:t>
            </w: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2"/>
        </w:trPr>
        <w:tc>
          <w:tcPr>
            <w:tcW w:w="7200" w:type="dxa"/>
            <w:vAlign w:val="bottom"/>
          </w:tcPr>
          <w:p>
            <w:pPr>
              <w:ind w:left="400"/>
              <w:spacing w:after="0" w:line="172" w:lineRule="exact"/>
              <w:rPr>
                <w:sz w:val="20"/>
                <w:szCs w:val="20"/>
                <w:color w:val="auto"/>
              </w:rPr>
            </w:pPr>
            <w:r>
              <w:rPr>
                <w:rFonts w:ascii="Arial" w:cs="Arial" w:eastAsia="Arial" w:hAnsi="Arial"/>
                <w:sz w:val="18"/>
                <w:szCs w:val="18"/>
                <w:color w:val="auto"/>
              </w:rPr>
              <w:t>December 31, 2021 and 2020, respectively; 900,000,000 and 91,704,900 shares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7200" w:type="dxa"/>
            <w:vAlign w:val="bottom"/>
          </w:tcPr>
          <w:p>
            <w:pPr>
              <w:ind w:left="400"/>
              <w:spacing w:after="0" w:line="172" w:lineRule="exact"/>
              <w:rPr>
                <w:sz w:val="20"/>
                <w:szCs w:val="20"/>
                <w:color w:val="auto"/>
              </w:rPr>
            </w:pPr>
            <w:r>
              <w:rPr>
                <w:rFonts w:ascii="Arial" w:cs="Arial" w:eastAsia="Arial" w:hAnsi="Arial"/>
                <w:sz w:val="18"/>
                <w:szCs w:val="18"/>
                <w:color w:val="auto"/>
              </w:rPr>
              <w:t>authorized as of December 31, 2021 and 2020, respectively; 75,909,531 and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7200" w:type="dxa"/>
            <w:vAlign w:val="bottom"/>
          </w:tcPr>
          <w:p>
            <w:pPr>
              <w:ind w:left="400"/>
              <w:spacing w:after="0" w:line="172" w:lineRule="exact"/>
              <w:rPr>
                <w:sz w:val="20"/>
                <w:szCs w:val="20"/>
                <w:color w:val="auto"/>
              </w:rPr>
            </w:pPr>
            <w:r>
              <w:rPr>
                <w:rFonts w:ascii="Arial" w:cs="Arial" w:eastAsia="Arial" w:hAnsi="Arial"/>
                <w:sz w:val="18"/>
                <w:szCs w:val="18"/>
                <w:color w:val="auto"/>
              </w:rPr>
              <w:t>14,310,552 shares issued and outstanding as of December 31, 2021 and 2020,</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2"/>
        </w:trPr>
        <w:tc>
          <w:tcPr>
            <w:tcW w:w="72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85"/>
        </w:trPr>
        <w:tc>
          <w:tcPr>
            <w:tcW w:w="720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Class B ordinary shares, no par value; 232,500,000 and zero shares authorized as of</w:t>
            </w:r>
          </w:p>
        </w:tc>
        <w:tc>
          <w:tcPr>
            <w:tcW w:w="1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2"/>
        </w:trPr>
        <w:tc>
          <w:tcPr>
            <w:tcW w:w="7200" w:type="dxa"/>
            <w:vAlign w:val="bottom"/>
            <w:shd w:val="clear" w:color="auto" w:fill="CCEEFF"/>
          </w:tcPr>
          <w:p>
            <w:pPr>
              <w:ind w:left="400"/>
              <w:spacing w:after="0" w:line="172" w:lineRule="exact"/>
              <w:rPr>
                <w:sz w:val="20"/>
                <w:szCs w:val="20"/>
                <w:color w:val="auto"/>
              </w:rPr>
            </w:pPr>
            <w:r>
              <w:rPr>
                <w:rFonts w:ascii="Arial" w:cs="Arial" w:eastAsia="Arial" w:hAnsi="Arial"/>
                <w:sz w:val="18"/>
                <w:szCs w:val="18"/>
                <w:color w:val="auto"/>
              </w:rPr>
              <w:t>December 31, 2021 and 2020, respectively; 88,055,520 and zero shares issued and</w:t>
            </w:r>
          </w:p>
        </w:tc>
        <w:tc>
          <w:tcPr>
            <w:tcW w:w="1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3"/>
        </w:trPr>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 of December 31, 2021 and 2020, respectively</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2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775,249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24,366</w:t>
            </w:r>
          </w:p>
        </w:tc>
      </w:tr>
      <w:tr>
        <w:trPr>
          <w:trHeight w:val="226"/>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profit (loss)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(246,564)</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(67,679)</w:t>
            </w:r>
          </w:p>
        </w:tc>
      </w:tr>
      <w:tr>
        <w:trPr>
          <w:trHeight w:val="218"/>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shareholders’ equity (deficit)</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528,861</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(43,309)</w:t>
            </w:r>
          </w:p>
        </w:tc>
      </w:tr>
      <w:tr>
        <w:trPr>
          <w:trHeight w:val="219"/>
        </w:trPr>
        <w:tc>
          <w:tcPr>
            <w:tcW w:w="720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shares, and shareholders’ equity (deficit)</w:t>
            </w:r>
          </w:p>
        </w:tc>
        <w:tc>
          <w:tcPr>
            <w:tcW w:w="118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600,634</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180,561</w:t>
            </w:r>
          </w:p>
        </w:tc>
      </w:tr>
      <w:tr>
        <w:trPr>
          <w:trHeight w:val="20"/>
        </w:trPr>
        <w:tc>
          <w:tcPr>
            <w:tcW w:w="7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5"/>
        </w:trPr>
        <w:tc>
          <w:tcPr>
            <w:tcW w:w="6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229,141</w:t>
            </w:r>
          </w:p>
        </w:tc>
        <w:tc>
          <w:tcPr>
            <w:tcW w:w="46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0" w:type="dxa"/>
            <w:vAlign w:val="bottom"/>
          </w:tcPr>
          <w:p>
            <w:pPr>
              <w:spacing w:after="0"/>
              <w:rPr>
                <w:sz w:val="1"/>
                <w:szCs w:val="1"/>
                <w:color w:val="auto"/>
              </w:rPr>
            </w:pP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76,916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64,867</w:t>
            </w:r>
          </w:p>
        </w:tc>
        <w:tc>
          <w:tcPr>
            <w:tcW w:w="0" w:type="dxa"/>
            <w:vAlign w:val="bottom"/>
          </w:tcPr>
          <w:p>
            <w:pPr>
              <w:spacing w:after="0"/>
              <w:rPr>
                <w:sz w:val="1"/>
                <w:szCs w:val="1"/>
                <w:color w:val="auto"/>
              </w:rPr>
            </w:pPr>
          </w:p>
        </w:tc>
      </w:tr>
      <w:tr>
        <w:trPr>
          <w:trHeight w:val="28"/>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92,824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17"/>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25,041</w:t>
            </w:r>
          </w:p>
        </w:tc>
        <w:tc>
          <w:tcPr>
            <w:tcW w:w="0" w:type="dxa"/>
            <w:vAlign w:val="bottom"/>
          </w:tcPr>
          <w:p>
            <w:pPr>
              <w:spacing w:after="0"/>
              <w:rPr>
                <w:sz w:val="1"/>
                <w:szCs w:val="1"/>
                <w:color w:val="auto"/>
              </w:rPr>
            </w:pPr>
          </w:p>
        </w:tc>
      </w:tr>
      <w:tr>
        <w:trPr>
          <w:trHeight w:val="237"/>
        </w:trPr>
        <w:tc>
          <w:tcPr>
            <w:tcW w:w="63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36,587</w:t>
            </w: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17,935</w:t>
            </w:r>
          </w:p>
        </w:tc>
        <w:tc>
          <w:tcPr>
            <w:tcW w:w="0" w:type="dxa"/>
            <w:vAlign w:val="bottom"/>
          </w:tcPr>
          <w:p>
            <w:pPr>
              <w:spacing w:after="0"/>
              <w:rPr>
                <w:sz w:val="1"/>
                <w:szCs w:val="1"/>
                <w:color w:val="auto"/>
              </w:rPr>
            </w:pPr>
          </w:p>
        </w:tc>
      </w:tr>
      <w:tr>
        <w:trPr>
          <w:trHeight w:val="231"/>
        </w:trPr>
        <w:tc>
          <w:tcPr>
            <w:tcW w:w="632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99,632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79,563</w:t>
            </w:r>
          </w:p>
        </w:tc>
        <w:tc>
          <w:tcPr>
            <w:tcW w:w="0" w:type="dxa"/>
            <w:vAlign w:val="bottom"/>
          </w:tcPr>
          <w:p>
            <w:pPr>
              <w:spacing w:after="0"/>
              <w:rPr>
                <w:sz w:val="1"/>
                <w:szCs w:val="1"/>
                <w:color w:val="auto"/>
              </w:rPr>
            </w:pPr>
          </w:p>
        </w:tc>
      </w:tr>
      <w:tr>
        <w:trPr>
          <w:trHeight w:val="28"/>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0" w:type="dxa"/>
            <w:vAlign w:val="bottom"/>
          </w:tcPr>
          <w:p>
            <w:pPr>
              <w:spacing w:after="0"/>
              <w:rPr>
                <w:sz w:val="1"/>
                <w:szCs w:val="1"/>
                <w:color w:val="auto"/>
              </w:rPr>
            </w:pP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59"/>
        </w:trPr>
        <w:tc>
          <w:tcPr>
            <w:tcW w:w="6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(122,520)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7"/>
        </w:trPr>
        <w:tc>
          <w:tcPr>
            <w:tcW w:w="63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320" w:type="dxa"/>
            <w:vAlign w:val="bottom"/>
          </w:tcPr>
          <w:p>
            <w:pPr>
              <w:ind w:left="240"/>
              <w:spacing w:after="0"/>
              <w:rPr>
                <w:sz w:val="20"/>
                <w:szCs w:val="20"/>
                <w:color w:val="auto"/>
              </w:rPr>
            </w:pPr>
            <w:r>
              <w:rPr>
                <w:rFonts w:ascii="Arial" w:cs="Arial" w:eastAsia="Arial" w:hAnsi="Arial"/>
                <w:sz w:val="18"/>
                <w:szCs w:val="18"/>
                <w:color w:val="auto"/>
              </w:rPr>
              <w:t>Profit (loss) before income taxes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8"/>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58"/>
        </w:trPr>
        <w:tc>
          <w:tcPr>
            <w:tcW w:w="6320" w:type="dxa"/>
            <w:vAlign w:val="bottom"/>
          </w:tcPr>
          <w:p>
            <w:pPr>
              <w:ind w:left="240"/>
              <w:spacing w:after="0"/>
              <w:rPr>
                <w:sz w:val="20"/>
                <w:szCs w:val="20"/>
                <w:color w:val="auto"/>
              </w:rPr>
            </w:pPr>
            <w:r>
              <w:rPr>
                <w:rFonts w:ascii="Arial" w:cs="Arial" w:eastAsia="Arial" w:hAnsi="Arial"/>
                <w:sz w:val="18"/>
                <w:szCs w:val="18"/>
                <w:color w:val="auto"/>
              </w:rPr>
              <w:t>Net profit (loss)</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profit (loss) per share attributable to Class A and B ordinary shareholders,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used in computing net profit (loss)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80"/>
              <w:spacing w:after="0"/>
              <w:rPr>
                <w:sz w:val="20"/>
                <w:szCs w:val="20"/>
                <w:color w:val="auto"/>
              </w:rPr>
            </w:pPr>
            <w:r>
              <w:rPr>
                <w:rFonts w:ascii="Arial" w:cs="Arial" w:eastAsia="Arial" w:hAnsi="Arial"/>
                <w:sz w:val="18"/>
                <w:szCs w:val="18"/>
                <w:color w:val="auto"/>
              </w:rPr>
              <w:t>attributable to Class A and B ordinary shareholders, basic and diluted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76,459,625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14,022,788</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13,597,794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PROFIT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45"/>
        </w:trPr>
        <w:tc>
          <w:tcPr>
            <w:tcW w:w="6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profit (loss)</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(14,175)</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profit (loss), net of tax:</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(loss) on derivative instruments,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6320" w:type="dxa"/>
            <w:vAlign w:val="bottom"/>
          </w:tcPr>
          <w:p>
            <w:pPr>
              <w:ind w:left="580"/>
              <w:spacing w:after="0"/>
              <w:rPr>
                <w:sz w:val="20"/>
                <w:szCs w:val="20"/>
                <w:color w:val="auto"/>
              </w:rPr>
            </w:pPr>
            <w:r>
              <w:rPr>
                <w:rFonts w:ascii="Arial" w:cs="Arial" w:eastAsia="Arial" w:hAnsi="Arial"/>
                <w:sz w:val="18"/>
                <w:szCs w:val="18"/>
                <w:color w:val="auto"/>
              </w:rPr>
              <w:t>Other comprehensive profit (loss)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profit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623"/>
        </w:trPr>
        <w:tc>
          <w:tcPr>
            <w:tcW w:w="1720" w:type="dxa"/>
            <w:vAlign w:val="bottom"/>
          </w:tcPr>
          <w:p>
            <w:pPr>
              <w:spacing w:after="0"/>
              <w:rPr>
                <w:sz w:val="24"/>
                <w:szCs w:val="24"/>
                <w:color w:val="auto"/>
              </w:rPr>
            </w:pPr>
          </w:p>
        </w:tc>
        <w:tc>
          <w:tcPr>
            <w:tcW w:w="1940" w:type="dxa"/>
            <w:vAlign w:val="bottom"/>
            <w:tcBorders>
              <w:right w:val="single" w:sz="8" w:color="auto"/>
            </w:tcBorders>
            <w:gridSpan w:val="4"/>
            <w:vMerge w:val="restart"/>
          </w:tcPr>
          <w:p>
            <w:pPr>
              <w:ind w:left="520"/>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Class B Ordinary</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1940" w:type="dxa"/>
            <w:vAlign w:val="bottom"/>
            <w:tcBorders>
              <w:right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80"/>
              <w:spacing w:after="0" w:line="13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4"/>
                <w:szCs w:val="4"/>
                <w:color w:val="auto"/>
              </w:rPr>
            </w:pPr>
          </w:p>
        </w:tc>
        <w:tc>
          <w:tcPr>
            <w:tcW w:w="1060" w:type="dxa"/>
            <w:vAlign w:val="bottom"/>
            <w:gridSpan w:val="2"/>
            <w:vMerge w:val="restart"/>
          </w:tcPr>
          <w:p>
            <w:pPr>
              <w:jc w:val="center"/>
              <w:ind w:right="200"/>
              <w:spacing w:after="0" w:line="133" w:lineRule="exact"/>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79"/>
        </w:trPr>
        <w:tc>
          <w:tcPr>
            <w:tcW w:w="1720" w:type="dxa"/>
            <w:vAlign w:val="bottom"/>
          </w:tcPr>
          <w:p>
            <w:pPr>
              <w:spacing w:after="0"/>
              <w:rPr>
                <w:sz w:val="6"/>
                <w:szCs w:val="6"/>
                <w:color w:val="auto"/>
              </w:rPr>
            </w:pPr>
          </w:p>
        </w:tc>
        <w:tc>
          <w:tcPr>
            <w:tcW w:w="182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Class A Ordinary Shares</w:t>
            </w:r>
          </w:p>
        </w:tc>
        <w:tc>
          <w:tcPr>
            <w:tcW w:w="80" w:type="dxa"/>
            <w:vAlign w:val="bottom"/>
            <w:vMerge w:val="restart"/>
          </w:tcPr>
          <w:p>
            <w:pPr>
              <w:spacing w:after="0"/>
              <w:rPr>
                <w:sz w:val="6"/>
                <w:szCs w:val="6"/>
                <w:color w:val="auto"/>
              </w:rPr>
            </w:pPr>
          </w:p>
        </w:tc>
        <w:tc>
          <w:tcPr>
            <w:tcW w:w="14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720" w:type="dxa"/>
            <w:vAlign w:val="bottom"/>
          </w:tcPr>
          <w:p>
            <w:pPr>
              <w:spacing w:after="0"/>
              <w:rPr>
                <w:sz w:val="8"/>
                <w:szCs w:val="8"/>
                <w:color w:val="auto"/>
              </w:rPr>
            </w:pPr>
          </w:p>
        </w:tc>
        <w:tc>
          <w:tcPr>
            <w:tcW w:w="1820" w:type="dxa"/>
            <w:vAlign w:val="bottom"/>
            <w:tcBorders>
              <w:bottom w:val="single" w:sz="8" w:color="auto"/>
            </w:tcBorders>
            <w:gridSpan w:val="3"/>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7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80"/>
              <w:spacing w:after="0" w:line="93" w:lineRule="exact"/>
              <w:rPr>
                <w:sz w:val="20"/>
                <w:szCs w:val="20"/>
                <w:color w:val="auto"/>
              </w:rPr>
            </w:pPr>
            <w:r>
              <w:rPr>
                <w:rFonts w:ascii="Arial" w:cs="Arial" w:eastAsia="Arial" w:hAnsi="Arial"/>
                <w:sz w:val="10"/>
                <w:szCs w:val="10"/>
                <w:b w:val="1"/>
                <w:bCs w:val="1"/>
                <w:color w:val="auto"/>
              </w:rPr>
              <w:t>Paid-in</w:t>
            </w:r>
          </w:p>
        </w:tc>
        <w:tc>
          <w:tcPr>
            <w:tcW w:w="1180" w:type="dxa"/>
            <w:vAlign w:val="bottom"/>
            <w:gridSpan w:val="3"/>
          </w:tcPr>
          <w:p>
            <w:pPr>
              <w:jc w:val="center"/>
              <w:ind w:right="80"/>
              <w:spacing w:after="0" w:line="93" w:lineRule="exact"/>
              <w:rPr>
                <w:sz w:val="20"/>
                <w:szCs w:val="20"/>
                <w:color w:val="auto"/>
              </w:rPr>
            </w:pPr>
            <w:r>
              <w:rPr>
                <w:rFonts w:ascii="Arial" w:cs="Arial" w:eastAsia="Arial" w:hAnsi="Arial"/>
                <w:sz w:val="10"/>
                <w:szCs w:val="10"/>
                <w:b w:val="1"/>
                <w:bCs w:val="1"/>
                <w:color w:val="auto"/>
              </w:rPr>
              <w:t>Comprehensive</w:t>
            </w:r>
          </w:p>
        </w:tc>
        <w:tc>
          <w:tcPr>
            <w:tcW w:w="1000" w:type="dxa"/>
            <w:vAlign w:val="bottom"/>
            <w:gridSpan w:val="2"/>
          </w:tcPr>
          <w:p>
            <w:pPr>
              <w:jc w:val="center"/>
              <w:ind w:right="80"/>
              <w:spacing w:after="0" w:line="93" w:lineRule="exact"/>
              <w:rPr>
                <w:sz w:val="20"/>
                <w:szCs w:val="20"/>
                <w:color w:val="auto"/>
              </w:rPr>
            </w:pPr>
            <w:r>
              <w:rPr>
                <w:rFonts w:ascii="Arial" w:cs="Arial" w:eastAsia="Arial" w:hAnsi="Arial"/>
                <w:sz w:val="10"/>
                <w:szCs w:val="10"/>
                <w:b w:val="1"/>
                <w:bCs w:val="1"/>
                <w:color w:val="auto"/>
              </w:rPr>
              <w:t>Accumulated</w:t>
            </w:r>
          </w:p>
        </w:tc>
        <w:tc>
          <w:tcPr>
            <w:tcW w:w="980" w:type="dxa"/>
            <w:vAlign w:val="bottom"/>
          </w:tcPr>
          <w:p>
            <w:pPr>
              <w:jc w:val="center"/>
              <w:spacing w:after="0" w:line="93"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Profit (Loss)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Deficit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4"/>
        </w:trPr>
        <w:tc>
          <w:tcPr>
            <w:tcW w:w="17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Balance as of</w:t>
            </w: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January 1, 2019 (as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24,496,805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$ 62,974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13,276,756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w w:val="89"/>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  4,231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(43,911)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(39,676)</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Effect of adoption of</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240"/>
              <w:spacing w:after="0"/>
              <w:rPr>
                <w:sz w:val="20"/>
                <w:szCs w:val="20"/>
                <w:color w:val="auto"/>
              </w:rPr>
            </w:pPr>
            <w:r>
              <w:rPr>
                <w:rFonts w:ascii="Arial" w:cs="Arial" w:eastAsia="Arial" w:hAnsi="Arial"/>
                <w:sz w:val="16"/>
                <w:szCs w:val="16"/>
                <w:color w:val="auto"/>
              </w:rPr>
              <w:t>ASC 606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1,754</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157"/>
        </w:trPr>
        <w:tc>
          <w:tcPr>
            <w:tcW w:w="17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6"/>
                <w:szCs w:val="16"/>
                <w:color w:val="auto"/>
              </w:rPr>
              <w:t>Balance as of</w:t>
            </w: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January 1, 2019 (as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24,496,805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13,276,756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(37,922)</w:t>
            </w:r>
          </w:p>
        </w:tc>
        <w:tc>
          <w:tcPr>
            <w:tcW w:w="0" w:type="dxa"/>
            <w:vAlign w:val="bottom"/>
          </w:tcPr>
          <w:p>
            <w:pPr>
              <w:spacing w:after="0"/>
              <w:rPr>
                <w:sz w:val="1"/>
                <w:szCs w:val="1"/>
                <w:color w:val="auto"/>
              </w:rPr>
            </w:pPr>
          </w:p>
        </w:tc>
      </w:tr>
      <w:tr>
        <w:trPr>
          <w:trHeight w:val="174"/>
        </w:trPr>
        <w:tc>
          <w:tcPr>
            <w:tcW w:w="1720" w:type="dxa"/>
            <w:vAlign w:val="bottom"/>
          </w:tcPr>
          <w:p>
            <w:pPr>
              <w:ind w:left="180"/>
              <w:spacing w:after="0" w:line="175" w:lineRule="exact"/>
              <w:rPr>
                <w:sz w:val="20"/>
                <w:szCs w:val="20"/>
                <w:color w:val="auto"/>
              </w:rPr>
            </w:pPr>
            <w:r>
              <w:rPr>
                <w:rFonts w:ascii="Arial" w:cs="Arial" w:eastAsia="Arial" w:hAnsi="Arial"/>
                <w:sz w:val="16"/>
                <w:szCs w:val="16"/>
                <w:color w:val="auto"/>
              </w:rPr>
              <w:t>Issuance of Series 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convertible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preferred shares,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net of issuance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costs of $1,733,</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w w:val="99"/>
              </w:rPr>
              <w:t>warrants of $1,771,</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and tranche rights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340"/>
              <w:spacing w:after="0"/>
              <w:rPr>
                <w:sz w:val="20"/>
                <w:szCs w:val="20"/>
                <w:color w:val="auto"/>
              </w:rPr>
            </w:pPr>
            <w:r>
              <w:rPr>
                <w:rFonts w:ascii="Arial" w:cs="Arial" w:eastAsia="Arial" w:hAnsi="Arial"/>
                <w:sz w:val="16"/>
                <w:szCs w:val="16"/>
                <w:color w:val="auto"/>
              </w:rPr>
              <w:t>of $1,318</w:t>
            </w:r>
          </w:p>
        </w:tc>
        <w:tc>
          <w:tcPr>
            <w:tcW w:w="960" w:type="dxa"/>
            <w:vAlign w:val="bottom"/>
          </w:tcPr>
          <w:p>
            <w:pPr>
              <w:jc w:val="right"/>
              <w:spacing w:after="0"/>
              <w:rPr>
                <w:sz w:val="20"/>
                <w:szCs w:val="20"/>
                <w:color w:val="auto"/>
              </w:rPr>
            </w:pPr>
            <w:r>
              <w:rPr>
                <w:rFonts w:ascii="Arial" w:cs="Arial" w:eastAsia="Arial" w:hAnsi="Arial"/>
                <w:sz w:val="16"/>
                <w:szCs w:val="16"/>
                <w:color w:val="auto"/>
              </w:rPr>
              <w:t>2,480,485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42,380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Issuance of ordinary</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shares upon</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exercise of share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options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428,102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Share-based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240"/>
              <w:spacing w:after="0" w:line="159" w:lineRule="exact"/>
              <w:rPr>
                <w:sz w:val="20"/>
                <w:szCs w:val="20"/>
                <w:color w:val="auto"/>
              </w:rPr>
            </w:pPr>
            <w:r>
              <w:rPr>
                <w:rFonts w:ascii="Arial" w:cs="Arial" w:eastAsia="Arial" w:hAnsi="Arial"/>
                <w:sz w:val="16"/>
                <w:szCs w:val="16"/>
                <w:color w:val="auto"/>
              </w:rPr>
              <w:t>compensation</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240"/>
              <w:spacing w:after="0"/>
              <w:rPr>
                <w:sz w:val="20"/>
                <w:szCs w:val="20"/>
                <w:color w:val="auto"/>
              </w:rPr>
            </w:pPr>
            <w:r>
              <w:rPr>
                <w:rFonts w:ascii="Arial" w:cs="Arial" w:eastAsia="Arial" w:hAnsi="Arial"/>
                <w:sz w:val="16"/>
                <w:szCs w:val="16"/>
                <w:color w:val="auto"/>
              </w:rPr>
              <w:t>expense</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11,259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11,259</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profit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(14,175)</w:t>
            </w:r>
          </w:p>
        </w:tc>
        <w:tc>
          <w:tcPr>
            <w:tcW w:w="0" w:type="dxa"/>
            <w:vAlign w:val="bottom"/>
          </w:tcPr>
          <w:p>
            <w:pPr>
              <w:spacing w:after="0"/>
              <w:rPr>
                <w:sz w:val="1"/>
                <w:szCs w:val="1"/>
                <w:color w:val="auto"/>
              </w:rPr>
            </w:pPr>
          </w:p>
        </w:tc>
      </w:tr>
      <w:tr>
        <w:trPr>
          <w:trHeight w:val="154"/>
        </w:trPr>
        <w:tc>
          <w:tcPr>
            <w:tcW w:w="1720" w:type="dxa"/>
            <w:vAlign w:val="bottom"/>
          </w:tcPr>
          <w:p>
            <w:pPr>
              <w:ind w:left="20"/>
              <w:spacing w:after="0" w:line="155" w:lineRule="exact"/>
              <w:rPr>
                <w:sz w:val="20"/>
                <w:szCs w:val="20"/>
                <w:color w:val="auto"/>
              </w:rPr>
            </w:pPr>
            <w:r>
              <w:rPr>
                <w:rFonts w:ascii="Arial" w:cs="Arial" w:eastAsia="Arial" w:hAnsi="Arial"/>
                <w:sz w:val="16"/>
                <w:szCs w:val="16"/>
                <w:color w:val="auto"/>
              </w:rPr>
              <w:t>Balance as of</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960" w:type="dxa"/>
            <w:vAlign w:val="bottom"/>
          </w:tcPr>
          <w:p>
            <w:pPr>
              <w:jc w:val="right"/>
              <w:spacing w:after="0"/>
              <w:rPr>
                <w:sz w:val="20"/>
                <w:szCs w:val="20"/>
                <w:color w:val="auto"/>
              </w:rPr>
            </w:pPr>
            <w:r>
              <w:rPr>
                <w:rFonts w:ascii="Arial" w:cs="Arial" w:eastAsia="Arial" w:hAnsi="Arial"/>
                <w:sz w:val="16"/>
                <w:szCs w:val="16"/>
                <w:color w:val="auto"/>
              </w:rPr>
              <w:t>26,977,290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105,354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13,704,858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15,727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(56,332)</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(40,601)</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180"/>
              <w:spacing w:after="0" w:line="177" w:lineRule="exact"/>
              <w:rPr>
                <w:sz w:val="20"/>
                <w:szCs w:val="20"/>
                <w:color w:val="auto"/>
              </w:rPr>
            </w:pPr>
            <w:r>
              <w:rPr>
                <w:rFonts w:ascii="Arial" w:cs="Arial" w:eastAsia="Arial" w:hAnsi="Arial"/>
                <w:sz w:val="16"/>
                <w:szCs w:val="16"/>
                <w:color w:val="auto"/>
              </w:rPr>
              <w:t>Issuance of Series E</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convertible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preferred shares,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net of issuance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costs of $1,540</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and settlement of</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tranche rights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2,900,826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54,210</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Issuance of ordinary</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shares upon</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exercise of share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400"/>
              <w:spacing w:after="0"/>
              <w:rPr>
                <w:sz w:val="20"/>
                <w:szCs w:val="20"/>
                <w:color w:val="auto"/>
              </w:rPr>
            </w:pPr>
            <w:r>
              <w:rPr>
                <w:rFonts w:ascii="Arial" w:cs="Arial" w:eastAsia="Arial" w:hAnsi="Arial"/>
                <w:sz w:val="16"/>
                <w:szCs w:val="16"/>
                <w:color w:val="auto"/>
              </w:rPr>
              <w:t>options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605,694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Share-based</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240"/>
              <w:spacing w:after="0" w:line="159" w:lineRule="exact"/>
              <w:rPr>
                <w:sz w:val="20"/>
                <w:szCs w:val="20"/>
                <w:color w:val="auto"/>
              </w:rPr>
            </w:pPr>
            <w:r>
              <w:rPr>
                <w:rFonts w:ascii="Arial" w:cs="Arial" w:eastAsia="Arial" w:hAnsi="Arial"/>
                <w:sz w:val="16"/>
                <w:szCs w:val="16"/>
                <w:color w:val="auto"/>
              </w:rPr>
              <w:t>compensation</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expense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c>
          <w:tcPr>
            <w:tcW w:w="0" w:type="dxa"/>
            <w:vAlign w:val="bottom"/>
          </w:tcPr>
          <w:p>
            <w:pPr>
              <w:spacing w:after="0"/>
              <w:rPr>
                <w:sz w:val="1"/>
                <w:szCs w:val="1"/>
                <w:color w:val="auto"/>
              </w:rPr>
            </w:pPr>
          </w:p>
        </w:tc>
      </w:tr>
      <w:tr>
        <w:trPr>
          <w:trHeight w:val="210"/>
        </w:trPr>
        <w:tc>
          <w:tcPr>
            <w:tcW w:w="1720" w:type="dxa"/>
            <w:vAlign w:val="bottom"/>
          </w:tcPr>
          <w:p>
            <w:pPr>
              <w:ind w:left="240"/>
              <w:spacing w:after="0"/>
              <w:rPr>
                <w:sz w:val="20"/>
                <w:szCs w:val="20"/>
                <w:color w:val="auto"/>
              </w:rPr>
            </w:pPr>
            <w:r>
              <w:rPr>
                <w:rFonts w:ascii="Arial" w:cs="Arial" w:eastAsia="Arial" w:hAnsi="Arial"/>
                <w:sz w:val="16"/>
                <w:szCs w:val="16"/>
                <w:color w:val="auto"/>
              </w:rPr>
              <w:t>Net profit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(11,347)</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(11,347)</w:t>
            </w:r>
          </w:p>
        </w:tc>
        <w:tc>
          <w:tcPr>
            <w:tcW w:w="0" w:type="dxa"/>
            <w:vAlign w:val="bottom"/>
          </w:tcPr>
          <w:p>
            <w:pPr>
              <w:spacing w:after="0"/>
              <w:rPr>
                <w:sz w:val="1"/>
                <w:szCs w:val="1"/>
                <w:color w:val="auto"/>
              </w:rPr>
            </w:pPr>
          </w:p>
        </w:tc>
      </w:tr>
      <w:tr>
        <w:trPr>
          <w:trHeight w:val="157"/>
        </w:trPr>
        <w:tc>
          <w:tcPr>
            <w:tcW w:w="17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6"/>
                <w:szCs w:val="16"/>
                <w:color w:val="auto"/>
              </w:rPr>
              <w:t>Balance as of</w:t>
            </w: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29,878,116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159,564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14,310,552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24,366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(67,679)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(43,309)</w:t>
            </w:r>
          </w:p>
        </w:tc>
        <w:tc>
          <w:tcPr>
            <w:tcW w:w="0" w:type="dxa"/>
            <w:vAlign w:val="bottom"/>
          </w:tcPr>
          <w:p>
            <w:pPr>
              <w:spacing w:after="0"/>
              <w:rPr>
                <w:sz w:val="1"/>
                <w:szCs w:val="1"/>
                <w:color w:val="auto"/>
              </w:rPr>
            </w:pPr>
          </w:p>
        </w:tc>
      </w:tr>
      <w:tr>
        <w:trPr>
          <w:trHeight w:val="174"/>
        </w:trPr>
        <w:tc>
          <w:tcPr>
            <w:tcW w:w="1720" w:type="dxa"/>
            <w:vAlign w:val="bottom"/>
          </w:tcPr>
          <w:p>
            <w:pPr>
              <w:ind w:left="180"/>
              <w:spacing w:after="0" w:line="175" w:lineRule="exact"/>
              <w:rPr>
                <w:sz w:val="20"/>
                <w:szCs w:val="20"/>
                <w:color w:val="auto"/>
              </w:rPr>
            </w:pPr>
            <w:r>
              <w:rPr>
                <w:rFonts w:ascii="Arial" w:cs="Arial" w:eastAsia="Arial" w:hAnsi="Arial"/>
                <w:sz w:val="16"/>
                <w:szCs w:val="16"/>
                <w:color w:val="auto"/>
              </w:rPr>
              <w:t>Issuance of Series 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convertible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preferred shares,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net of issuance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costs of $819 and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340"/>
              <w:spacing w:after="0" w:line="159" w:lineRule="exact"/>
              <w:rPr>
                <w:sz w:val="20"/>
                <w:szCs w:val="20"/>
                <w:color w:val="auto"/>
              </w:rPr>
            </w:pPr>
            <w:r>
              <w:rPr>
                <w:rFonts w:ascii="Arial" w:cs="Arial" w:eastAsia="Arial" w:hAnsi="Arial"/>
                <w:sz w:val="16"/>
                <w:szCs w:val="16"/>
                <w:color w:val="auto"/>
              </w:rPr>
              <w:t>settlement of</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340"/>
              <w:spacing w:after="0"/>
              <w:rPr>
                <w:sz w:val="20"/>
                <w:szCs w:val="20"/>
                <w:color w:val="auto"/>
              </w:rPr>
            </w:pPr>
            <w:r>
              <w:rPr>
                <w:rFonts w:ascii="Arial" w:cs="Arial" w:eastAsia="Arial" w:hAnsi="Arial"/>
                <w:sz w:val="16"/>
                <w:szCs w:val="16"/>
                <w:color w:val="auto"/>
              </w:rPr>
              <w:t>tranche rights</w:t>
            </w:r>
          </w:p>
        </w:tc>
        <w:tc>
          <w:tcPr>
            <w:tcW w:w="960" w:type="dxa"/>
            <w:vAlign w:val="bottom"/>
          </w:tcPr>
          <w:p>
            <w:pPr>
              <w:jc w:val="right"/>
              <w:spacing w:after="0"/>
              <w:rPr>
                <w:sz w:val="20"/>
                <w:szCs w:val="20"/>
                <w:color w:val="auto"/>
              </w:rPr>
            </w:pPr>
            <w:r>
              <w:rPr>
                <w:rFonts w:ascii="Arial" w:cs="Arial" w:eastAsia="Arial" w:hAnsi="Arial"/>
                <w:sz w:val="16"/>
                <w:szCs w:val="16"/>
                <w:color w:val="auto"/>
              </w:rPr>
              <w:t>1,450,414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50,519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Issuance of Series</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E-1 convertible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preferred shares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upon exercise of</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Series E-1</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convertible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preferred share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962,940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Reclassification of</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convertible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preferred share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warrants upon</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400"/>
              <w:spacing w:after="0"/>
              <w:rPr>
                <w:sz w:val="20"/>
                <w:szCs w:val="20"/>
                <w:color w:val="auto"/>
              </w:rPr>
            </w:pPr>
            <w:r>
              <w:rPr>
                <w:rFonts w:ascii="Arial" w:cs="Arial" w:eastAsia="Arial" w:hAnsi="Arial"/>
                <w:sz w:val="16"/>
                <w:szCs w:val="16"/>
                <w:color w:val="auto"/>
              </w:rPr>
              <w:t>IPO</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74,724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35,778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35,778</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Conversion of</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convertible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preferred shares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into Class A</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ordinary shares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upon IPO</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(32,291,470)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(291,296)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32,291,470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291,296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291,296</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Issuance of Class A</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ordinary shares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upon IPO, net of</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underwriting</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discounts and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commissions and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other issuance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400"/>
              <w:spacing w:after="0"/>
              <w:rPr>
                <w:sz w:val="20"/>
                <w:szCs w:val="20"/>
                <w:color w:val="auto"/>
              </w:rPr>
            </w:pPr>
            <w:r>
              <w:rPr>
                <w:rFonts w:ascii="Arial" w:cs="Arial" w:eastAsia="Arial" w:hAnsi="Arial"/>
                <w:sz w:val="16"/>
                <w:szCs w:val="16"/>
                <w:color w:val="auto"/>
              </w:rPr>
              <w:t>costs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19,925,000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386,591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386,591</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Elimination of</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ordinary share par</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value and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issuance of Class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B ordinary shares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upon</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8" w:right="339" w:bottom="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Recapitalization</w:t>
            </w: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94,431,636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Issuance of ordinary</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shares upon</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exercise of share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400"/>
              <w:spacing w:after="0"/>
              <w:rPr>
                <w:sz w:val="20"/>
                <w:szCs w:val="20"/>
                <w:color w:val="auto"/>
              </w:rPr>
            </w:pPr>
            <w:r>
              <w:rPr>
                <w:rFonts w:ascii="Arial" w:cs="Arial" w:eastAsia="Arial" w:hAnsi="Arial"/>
                <w:sz w:val="16"/>
                <w:szCs w:val="16"/>
                <w:color w:val="auto"/>
              </w:rPr>
              <w:t>options</w:t>
            </w:r>
          </w:p>
        </w:tc>
        <w:tc>
          <w:tcPr>
            <w:tcW w:w="138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440" w:type="dxa"/>
            <w:vAlign w:val="bottom"/>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2,381,269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625,124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2,948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Exchange of Class</w:t>
            </w:r>
          </w:p>
        </w:tc>
        <w:tc>
          <w:tcPr>
            <w:tcW w:w="9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B ordinary shares</w:t>
            </w:r>
          </w:p>
        </w:tc>
        <w:tc>
          <w:tcPr>
            <w:tcW w:w="96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to Class A</w:t>
            </w:r>
          </w:p>
        </w:tc>
        <w:tc>
          <w:tcPr>
            <w:tcW w:w="96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ordinary shares</w:t>
            </w: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7,001,240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(7,001,240)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Share-based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400"/>
              <w:spacing w:after="0" w:line="159" w:lineRule="exact"/>
              <w:rPr>
                <w:sz w:val="20"/>
                <w:szCs w:val="20"/>
                <w:color w:val="auto"/>
              </w:rPr>
            </w:pPr>
            <w:r>
              <w:rPr>
                <w:rFonts w:ascii="Arial" w:cs="Arial" w:eastAsia="Arial" w:hAnsi="Arial"/>
                <w:sz w:val="16"/>
                <w:szCs w:val="16"/>
                <w:color w:val="auto"/>
              </w:rPr>
              <w:t>compensation</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400"/>
              <w:spacing w:after="0"/>
              <w:rPr>
                <w:sz w:val="20"/>
                <w:szCs w:val="20"/>
                <w:color w:val="auto"/>
              </w:rPr>
            </w:pPr>
            <w:r>
              <w:rPr>
                <w:rFonts w:ascii="Arial" w:cs="Arial" w:eastAsia="Arial" w:hAnsi="Arial"/>
                <w:sz w:val="16"/>
                <w:szCs w:val="16"/>
                <w:color w:val="auto"/>
              </w:rPr>
              <w:t>expense</w:t>
            </w:r>
          </w:p>
        </w:tc>
        <w:tc>
          <w:tcPr>
            <w:tcW w:w="138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440" w:type="dxa"/>
            <w:vAlign w:val="bottom"/>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33,489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33,489</w:t>
            </w:r>
          </w:p>
        </w:tc>
        <w:tc>
          <w:tcPr>
            <w:tcW w:w="0" w:type="dxa"/>
            <w:vAlign w:val="bottom"/>
          </w:tcPr>
          <w:p>
            <w:pPr>
              <w:spacing w:after="0"/>
              <w:rPr>
                <w:sz w:val="1"/>
                <w:szCs w:val="1"/>
                <w:color w:val="auto"/>
              </w:rPr>
            </w:pPr>
          </w:p>
        </w:tc>
      </w:tr>
      <w:tr>
        <w:trPr>
          <w:trHeight w:val="177"/>
        </w:trPr>
        <w:tc>
          <w:tcPr>
            <w:tcW w:w="172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rPr>
              <w:t>Ordinary share</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warrants issued to</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 customer</w:t>
            </w: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174"/>
        </w:trPr>
        <w:tc>
          <w:tcPr>
            <w:tcW w:w="1720" w:type="dxa"/>
            <w:vAlign w:val="bottom"/>
          </w:tcPr>
          <w:p>
            <w:pPr>
              <w:ind w:left="240"/>
              <w:spacing w:after="0" w:line="175" w:lineRule="exact"/>
              <w:rPr>
                <w:sz w:val="20"/>
                <w:szCs w:val="20"/>
                <w:color w:val="auto"/>
              </w:rPr>
            </w:pPr>
            <w:r>
              <w:rPr>
                <w:rFonts w:ascii="Arial" w:cs="Arial" w:eastAsia="Arial" w:hAnsi="Arial"/>
                <w:sz w:val="16"/>
                <w:szCs w:val="16"/>
                <w:color w:val="auto"/>
              </w:rPr>
              <w:t>Other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720" w:type="dxa"/>
            <w:vAlign w:val="bottom"/>
          </w:tcPr>
          <w:p>
            <w:pPr>
              <w:ind w:left="240"/>
              <w:spacing w:after="0" w:line="159" w:lineRule="exact"/>
              <w:rPr>
                <w:sz w:val="20"/>
                <w:szCs w:val="20"/>
                <w:color w:val="auto"/>
              </w:rPr>
            </w:pPr>
            <w:r>
              <w:rPr>
                <w:rFonts w:ascii="Arial" w:cs="Arial" w:eastAsia="Arial" w:hAnsi="Arial"/>
                <w:sz w:val="16"/>
                <w:szCs w:val="16"/>
                <w:color w:val="auto"/>
              </w:rPr>
              <w:t>comprehensive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20" w:type="dxa"/>
            <w:vAlign w:val="bottom"/>
          </w:tcPr>
          <w:p>
            <w:pPr>
              <w:ind w:left="240"/>
              <w:spacing w:after="0"/>
              <w:rPr>
                <w:sz w:val="20"/>
                <w:szCs w:val="20"/>
                <w:color w:val="auto"/>
              </w:rPr>
            </w:pPr>
            <w:r>
              <w:rPr>
                <w:rFonts w:ascii="Arial" w:cs="Arial" w:eastAsia="Arial" w:hAnsi="Arial"/>
                <w:sz w:val="16"/>
                <w:szCs w:val="16"/>
                <w:color w:val="auto"/>
              </w:rPr>
              <w:t>profit (loss)</w:t>
            </w:r>
          </w:p>
        </w:tc>
        <w:tc>
          <w:tcPr>
            <w:tcW w:w="138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440" w:type="dxa"/>
            <w:vAlign w:val="bottom"/>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4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4"/>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profit (loss)</w:t>
            </w: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(178,885)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(178,885)</w:t>
            </w:r>
          </w:p>
        </w:tc>
        <w:tc>
          <w:tcPr>
            <w:tcW w:w="0" w:type="dxa"/>
            <w:vAlign w:val="bottom"/>
          </w:tcPr>
          <w:p>
            <w:pPr>
              <w:spacing w:after="0"/>
              <w:rPr>
                <w:sz w:val="1"/>
                <w:szCs w:val="1"/>
                <w:color w:val="auto"/>
              </w:rPr>
            </w:pPr>
          </w:p>
        </w:tc>
      </w:tr>
      <w:tr>
        <w:trPr>
          <w:trHeight w:val="154"/>
        </w:trPr>
        <w:tc>
          <w:tcPr>
            <w:tcW w:w="1720" w:type="dxa"/>
            <w:vAlign w:val="bottom"/>
          </w:tcPr>
          <w:p>
            <w:pPr>
              <w:ind w:left="20"/>
              <w:spacing w:after="0" w:line="155" w:lineRule="exact"/>
              <w:rPr>
                <w:sz w:val="20"/>
                <w:szCs w:val="20"/>
                <w:color w:val="auto"/>
              </w:rPr>
            </w:pPr>
            <w:r>
              <w:rPr>
                <w:rFonts w:ascii="Arial" w:cs="Arial" w:eastAsia="Arial" w:hAnsi="Arial"/>
                <w:sz w:val="16"/>
                <w:szCs w:val="16"/>
                <w:color w:val="auto"/>
              </w:rPr>
              <w:t>Balance as of</w:t>
            </w:r>
          </w:p>
        </w:tc>
        <w:tc>
          <w:tcPr>
            <w:tcW w:w="1380" w:type="dxa"/>
            <w:vAlign w:val="bottom"/>
            <w:gridSpan w:val="3"/>
            <w:vMerge w:val="restart"/>
          </w:tcPr>
          <w:p>
            <w:pPr>
              <w:ind w:left="740"/>
              <w:spacing w:after="0"/>
              <w:rPr>
                <w:sz w:val="20"/>
                <w:szCs w:val="20"/>
                <w:color w:val="auto"/>
              </w:rPr>
            </w:pPr>
            <w:r>
              <w:rPr>
                <w:rFonts w:ascii="Arial" w:cs="Arial" w:eastAsia="Arial" w:hAnsi="Arial"/>
                <w:sz w:val="16"/>
                <w:szCs w:val="16"/>
                <w:color w:val="auto"/>
              </w:rPr>
              <w:t>—  $</w:t>
            </w:r>
          </w:p>
        </w:tc>
        <w:tc>
          <w:tcPr>
            <w:tcW w:w="44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75,909,531</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48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w w:val="99"/>
              </w:rPr>
              <w:t>88,055,520</w:t>
            </w:r>
          </w:p>
        </w:tc>
        <w:tc>
          <w:tcPr>
            <w:tcW w:w="80" w:type="dxa"/>
            <w:vAlign w:val="bottom"/>
          </w:tcPr>
          <w:p>
            <w:pPr>
              <w:spacing w:after="0"/>
              <w:rPr>
                <w:sz w:val="13"/>
                <w:szCs w:val="13"/>
                <w:color w:val="auto"/>
              </w:rPr>
            </w:pP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48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775,249</w:t>
            </w:r>
          </w:p>
        </w:tc>
        <w:tc>
          <w:tcPr>
            <w:tcW w:w="80" w:type="dxa"/>
            <w:vAlign w:val="bottom"/>
          </w:tcPr>
          <w:p>
            <w:pPr>
              <w:spacing w:after="0"/>
              <w:rPr>
                <w:sz w:val="13"/>
                <w:szCs w:val="13"/>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  (246,564)</w:t>
            </w:r>
          </w:p>
        </w:tc>
        <w:tc>
          <w:tcPr>
            <w:tcW w:w="80" w:type="dxa"/>
            <w:vAlign w:val="bottom"/>
          </w:tcPr>
          <w:p>
            <w:pPr>
              <w:spacing w:after="0"/>
              <w:rPr>
                <w:sz w:val="13"/>
                <w:szCs w:val="13"/>
                <w:color w:val="auto"/>
              </w:rPr>
            </w:pP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528,861</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line="171" w:lineRule="exact"/>
              <w:rPr>
                <w:sz w:val="20"/>
                <w:szCs w:val="20"/>
                <w:color w:val="auto"/>
              </w:rPr>
            </w:pPr>
            <w:r>
              <w:rPr>
                <w:rFonts w:ascii="Arial" w:cs="Arial" w:eastAsia="Arial" w:hAnsi="Arial"/>
                <w:sz w:val="16"/>
                <w:szCs w:val="16"/>
                <w:color w:val="auto"/>
              </w:rPr>
              <w:t>December 31, 2021</w:t>
            </w:r>
          </w:p>
        </w:tc>
        <w:tc>
          <w:tcPr>
            <w:tcW w:w="138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Amount less than $1.</w:t>
      </w:r>
    </w:p>
    <w:p>
      <w:pPr>
        <w:spacing w:after="0" w:line="164"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9019"/>
          </w:cols>
          <w:pgMar w:left="1440" w:top="118"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45"/>
        </w:trPr>
        <w:tc>
          <w:tcPr>
            <w:tcW w:w="6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Net profit (loss)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(178,885)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(11,347)</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(14,175)</w:t>
            </w:r>
          </w:p>
        </w:tc>
      </w:tr>
      <w:tr>
        <w:trPr>
          <w:trHeight w:val="185"/>
        </w:trPr>
        <w:tc>
          <w:tcPr>
            <w:tcW w:w="63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Adjustments to reconcile net profit (loss) to net cash provided by (used in)</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Unrealized loss (gain) on foreign currency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(benefit from) account receivable allowances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contract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Gain from insurance proceeds received related to property and equipment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Remeasurement of convertible preferred share warrant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Remeasurement of convertible preferred share tranche rights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(3,284)</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contract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2,176</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Guarantee obligations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Provision for chargebacks,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4,399</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19"/>
        </w:trPr>
        <w:tc>
          <w:tcPr>
            <w:tcW w:w="6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r>
      <w:tr>
        <w:trPr>
          <w:trHeight w:val="206"/>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Purchases of short-term deposits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Maturities of short-term deposits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Insurance proceeds received related to property and equipment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25"/>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19"/>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r>
      <w:tr>
        <w:trPr>
          <w:trHeight w:val="205"/>
        </w:trPr>
        <w:tc>
          <w:tcPr>
            <w:tcW w:w="6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5"/>
        </w:trPr>
        <w:tc>
          <w:tcPr>
            <w:tcW w:w="632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w w:val="99"/>
              </w:rPr>
              <w:t>Proceeds from issuance of convertible preferred shares and warrants, net of</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costs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45,569</w:t>
            </w:r>
          </w:p>
        </w:tc>
      </w:tr>
      <w:tr>
        <w:trPr>
          <w:trHeight w:val="185"/>
        </w:trPr>
        <w:tc>
          <w:tcPr>
            <w:tcW w:w="6320" w:type="dxa"/>
            <w:vAlign w:val="bottom"/>
          </w:tcPr>
          <w:p>
            <w:pPr>
              <w:ind w:left="240"/>
              <w:spacing w:after="0" w:line="185" w:lineRule="exact"/>
              <w:rPr>
                <w:sz w:val="20"/>
                <w:szCs w:val="20"/>
                <w:color w:val="auto"/>
              </w:rPr>
            </w:pPr>
            <w:r>
              <w:rPr>
                <w:rFonts w:ascii="Arial" w:cs="Arial" w:eastAsia="Arial" w:hAnsi="Arial"/>
                <w:sz w:val="18"/>
                <w:szCs w:val="18"/>
                <w:color w:val="auto"/>
              </w:rPr>
              <w:t>Proceeds from cash exercise of series E-1 convertible preferred share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2"/>
        </w:trPr>
        <w:tc>
          <w:tcPr>
            <w:tcW w:w="6320" w:type="dxa"/>
            <w:vAlign w:val="bottom"/>
          </w:tcPr>
          <w:p>
            <w:pPr>
              <w:ind w:left="40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share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185"/>
        </w:trPr>
        <w:tc>
          <w:tcPr>
            <w:tcW w:w="6320" w:type="dxa"/>
            <w:vAlign w:val="bottom"/>
          </w:tcPr>
          <w:p>
            <w:pPr>
              <w:ind w:left="240"/>
              <w:spacing w:after="0" w:line="185" w:lineRule="exact"/>
              <w:rPr>
                <w:sz w:val="20"/>
                <w:szCs w:val="20"/>
                <w:color w:val="auto"/>
              </w:rPr>
            </w:pPr>
            <w:r>
              <w:rPr>
                <w:rFonts w:ascii="Arial" w:cs="Arial" w:eastAsia="Arial" w:hAnsi="Arial"/>
                <w:sz w:val="18"/>
                <w:szCs w:val="18"/>
                <w:color w:val="auto"/>
              </w:rPr>
              <w:t>Proceeds from initial public offering, net of underwriting discounts and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2"/>
        </w:trPr>
        <w:tc>
          <w:tcPr>
            <w:tcW w:w="6320" w:type="dxa"/>
            <w:vAlign w:val="bottom"/>
          </w:tcPr>
          <w:p>
            <w:pPr>
              <w:ind w:left="400"/>
              <w:spacing w:after="0"/>
              <w:rPr>
                <w:sz w:val="20"/>
                <w:szCs w:val="20"/>
                <w:color w:val="auto"/>
              </w:rPr>
            </w:pPr>
            <w:r>
              <w:rPr>
                <w:rFonts w:ascii="Arial" w:cs="Arial" w:eastAsia="Arial" w:hAnsi="Arial"/>
                <w:sz w:val="18"/>
                <w:szCs w:val="18"/>
                <w:color w:val="auto"/>
              </w:rPr>
              <w:t>commissions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392,273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deferred offering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45,806</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47,496</w:t>
            </w:r>
          </w:p>
        </w:tc>
      </w:tr>
      <w:tr>
        <w:trPr>
          <w:trHeight w:val="22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72,713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25,217</w:t>
            </w:r>
          </w:p>
        </w:tc>
      </w:tr>
      <w:tr>
        <w:trPr>
          <w:trHeight w:val="23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cash—end of period</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425,127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Cash paid for interest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6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5"/>
        </w:trPr>
        <w:tc>
          <w:tcPr>
            <w:tcW w:w="6320" w:type="dxa"/>
            <w:vAlign w:val="bottom"/>
          </w:tcPr>
          <w:p>
            <w:pPr>
              <w:ind w:left="240"/>
              <w:spacing w:after="0" w:line="185" w:lineRule="exact"/>
              <w:rPr>
                <w:sz w:val="20"/>
                <w:szCs w:val="20"/>
                <w:color w:val="auto"/>
              </w:rPr>
            </w:pPr>
            <w:r>
              <w:rPr>
                <w:rFonts w:ascii="Arial" w:cs="Arial" w:eastAsia="Arial" w:hAnsi="Arial"/>
                <w:sz w:val="18"/>
                <w:szCs w:val="18"/>
                <w:color w:val="auto"/>
                <w:w w:val="99"/>
              </w:rPr>
              <w:t>Purchases of property and equipment during the period included in accounts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2"/>
        </w:trPr>
        <w:tc>
          <w:tcPr>
            <w:tcW w:w="6320" w:type="dxa"/>
            <w:vAlign w:val="bottom"/>
          </w:tcPr>
          <w:p>
            <w:pPr>
              <w:ind w:left="400"/>
              <w:spacing w:after="0"/>
              <w:rPr>
                <w:sz w:val="20"/>
                <w:szCs w:val="20"/>
                <w:color w:val="auto"/>
              </w:rPr>
            </w:pPr>
            <w:r>
              <w:rPr>
                <w:rFonts w:ascii="Arial" w:cs="Arial" w:eastAsia="Arial" w:hAnsi="Arial"/>
                <w:sz w:val="18"/>
                <w:szCs w:val="18"/>
                <w:color w:val="auto"/>
              </w:rPr>
              <w:t>payable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capitalized for software development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Software development costs, accrued but not paid</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offering costs accrued but not paid</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Issuance of convertible preferred share tranche rights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Settlement of convertible preferred share tranche rights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Series E convertible preferred shares issuance cost accrued but not paid</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85"/>
        </w:trPr>
        <w:tc>
          <w:tcPr>
            <w:tcW w:w="632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w w:val="98"/>
              </w:rPr>
              <w:t>Conversion of convertible preferred shares into Class A ordinary shares upon</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IPO</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291,296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Reclassification of convertible preferred share warrants upon IPO</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110,502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Elimination of par value upon Recapitalization</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6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72"/>
        </w:trPr>
        <w:tc>
          <w:tcPr>
            <w:tcW w:w="63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Reconciliation of cash, cash equivalents, and restricted cash within the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2"/>
        </w:trPr>
        <w:tc>
          <w:tcPr>
            <w:tcW w:w="63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b w:val="1"/>
                <w:bCs w:val="1"/>
                <w:color w:val="auto"/>
              </w:rPr>
              <w:t>consolidated balance sheets to the amounts shown in the consolidated</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25"/>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statements of cash flows above: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418,143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103,609</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69,697</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r>
      <w:tr>
        <w:trPr>
          <w:trHeight w:val="219"/>
        </w:trPr>
        <w:tc>
          <w:tcPr>
            <w:tcW w:w="6320" w:type="dxa"/>
            <w:vAlign w:val="bottom"/>
          </w:tcPr>
          <w:p>
            <w:pPr>
              <w:ind w:left="44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425,127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106,657</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72,713</w:t>
            </w:r>
          </w:p>
        </w:tc>
      </w:tr>
      <w:tr>
        <w:trPr>
          <w:trHeight w:val="20"/>
        </w:trPr>
        <w:tc>
          <w:tcPr>
            <w:tcW w:w="6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6" w:right="339" w:bottom="0" w:gutter="0" w:footer="0" w:header="0"/>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ectPr>
          <w:pgSz w:w="11900" w:h="16838" w:orient="portrait"/>
          <w:cols w:equalWidth="0" w:num="1">
            <w:col w:w="11240"/>
          </w:cols>
          <w:pgMar w:left="320" w:top="166" w:right="339" w:bottom="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166370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934" w:right="1440"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Riskified Ltd., together with its subsidiaries, “Riskified”, “we”, “us”, “our” or the “Company,” was incorporated under the laws of the State of Israel in 2012 and commenced operations in January 2013. We have built a next-generation eCommerce risk management platform that allows our customers—online merchants—to create trusted relationships with their consumers. Our core product, the Chargeback Guarantee, is designed to ensure the legitimacy of our merchants’ online orders by approving or denying these orders with guaranteed performance levels that vary by merchant. We guarantee the outcome of our decisions by assuming the cost of fraud associated with each approval. We drive higher sales and reduce fraud and other operating costs for our merchants and strive to provide superior consumer experiences, as compared to our merchants’ performance prior to onboarding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6"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or U.S. GAAP, and include the accounts of Riskified Ltd. and its wholly-owned subsidiaries. All intercompany balances and transactions have been eliminated in consolidation. Certain amounts in prior periods have been reclassified to conform to the current period presentation.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Split</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On June 14, 2020, a 25-for-1 share split of our then-outstanding ordinary shares and convertible preferred shares was effected. All information related to our ordinary shares and their associated par value, convertible preferred shares and their associated par value, share options, restricted share units (“RSUs”), and warrants to purchase convertible preferred shares have been retroactively adjusted to give effect to the 25-for-1 share split for all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On August 2, 2021, we completed our initial public offering (“IPO”), in which we issued and sold 19,925,000 shares of our Class A ordinary shares at an offering price of $21.00 per share, including 2,625,000 shares of our Class A ordinary shares pursuant to the exercise in full of the underwriters’ option to purchase additional shares. We received net proceeds of $386.6 million after deducting underwriting discounts and commissions of $26.2 million, and other issuance costs of $5.7 million.</w:t>
      </w:r>
    </w:p>
    <w:p>
      <w:pPr>
        <w:spacing w:after="0" w:line="155"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Immediately prior to the closing of the IPO, 962,940 shares of Series E-1 convertible preferred shares were issued upon the exercise of the Series E-1 convertible preferred share warrants. In addition, all convertible preferred shares then outstanding automatically converted into 32,291,470 shares of our Class A ordinary shares.</w:t>
      </w:r>
    </w:p>
    <w:p>
      <w:pPr>
        <w:spacing w:after="0" w:line="15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Prior to the IPO, deferred offering costs, which consist primarily of accounting, legal and other fees related to our IPO, were capitalized within other assets, noncurrent in the consolidated balance sheets. Upon the consummation of the IPO, $5.7 million of deferred offering costs were reclassified into shareholders’ equity as an offset against IPO proceeds. We capitalized $0.5 million of deferred offering costs within other assets, noncurrent in the consolidated balance sheet as of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July 28, 2021, we adopted new Articles of Association (“AoA”), in which, among other things, we implemented, upon the closing of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164" w:lineRule="exact"/>
        <w:rPr>
          <w:sz w:val="20"/>
          <w:szCs w:val="20"/>
          <w:color w:val="auto"/>
        </w:rPr>
      </w:pPr>
    </w:p>
    <w:p>
      <w:pPr>
        <w:ind w:right="320" w:firstLine="324"/>
        <w:spacing w:after="0" w:line="251" w:lineRule="auto"/>
        <w:tabs>
          <w:tab w:leader="none" w:pos="5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dual class ordinary share structure pursuant to which we have two classes of ordinary shares: Class A ordinary shares and Class B ordinary shares. The rights of the holders of our Class A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shares and Class B ordinary shares are identical, except with respect to voting, conversion and transfer rights. Class A ordinary shareholders are entitled to one vote per share and Class B ordinary shareholders are entitled to ten votes per share. The dual class ordinary share structure concentrates voting power with our pre-IPO shareholders. Holders of Class A ordinary shares and Class B ordinary shares will vote together as a single class on all matters (including the election of directors) submitted to a vote of our shareholders, unless otherwise required by law or our amended and restated articles of association;</w:t>
      </w:r>
    </w:p>
    <w:p>
      <w:pPr>
        <w:spacing w:after="0" w:line="154" w:lineRule="exact"/>
        <w:rPr>
          <w:sz w:val="20"/>
          <w:szCs w:val="20"/>
          <w:color w:val="auto"/>
        </w:rPr>
      </w:pPr>
    </w:p>
    <w:p>
      <w:pPr>
        <w:ind w:left="560" w:hanging="236"/>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elimination of the par value per ordinary share; and</w:t>
      </w:r>
    </w:p>
    <w:p>
      <w:pPr>
        <w:spacing w:after="0" w:line="164" w:lineRule="exact"/>
        <w:rPr>
          <w:rFonts w:ascii="Arial" w:cs="Arial" w:eastAsia="Arial" w:hAnsi="Arial"/>
          <w:sz w:val="18"/>
          <w:szCs w:val="18"/>
          <w:color w:val="auto"/>
        </w:rPr>
      </w:pPr>
    </w:p>
    <w:p>
      <w:pPr>
        <w:ind w:left="600" w:hanging="276"/>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two-for-one reverse share split of our Class A ordinary shares (the “Reverse Share Split”).</w:t>
      </w:r>
    </w:p>
    <w:p>
      <w:pPr>
        <w:spacing w:after="0" w:line="164"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Immediately after the effectiveness of the Reverse Share Split, we issued and distributed Class B ordinary shares to holders of the Class A ordinary shares on a two-for-one ratio, such that each holder of Class A ordinary shares received two Class B ordinary shares for each Class A ordinary share (the “Additional Class B Issuance”).</w:t>
      </w:r>
    </w:p>
    <w:p>
      <w:pPr>
        <w:spacing w:after="0" w:line="153"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historical financial statements have not been retroactively adjusted for the (i) dual class structure, (ii) elimination of par value, and (iii) Additional Class B Issuance. As a result, all information associated with these items related to our ordinary shares and their associated par value, convertible preferred shares and their associated par value, share options, RSUs, and warrants to purchase convertible preferred shares are being presented prospectively.</w:t>
      </w:r>
    </w:p>
    <w:p>
      <w:pPr>
        <w:spacing w:after="0" w:line="155"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All information related to our ordinary shares and their associated par value, convertible preferred shares and their associated par value, share options, RSUs, and warrants to purchase convertible preferred shares have been retroactively adjusted to give effect to the Reverse Share Split for all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assumptions that affect the amounts reported and disclosed in the financial statements and the accompanying notes. Actual results could differ materially from these estimates. On an ongoing basis, we evaluate our estimates, including those related to the estimated customer life on deferred contract costs, the allowance for doubtful accounts, the fair value of financial assets and liabilities including accounting and fair value of derivatives, the useful lives of property and equipment, capitalization and estimated useful life of internal-use software, share-based compensation including the determination of the fair value of our ordinary shares (prior to IPO), the fair value of indemnification guarantees and the associated systematic and rational amortization method, provisions for chargebacks, the fair value of convertible preferred share warrant liabilities and convertible preferred share tranche rights (prior to IPO), and the valuation of deferred tax assets and uncertain tax positions. We base our estimates on assumptions, both historical and forward looking, trends, and various other assumptions that are believed to be reasonable, the results of which form the basis for making judgments about the carrying values of assets and liabilities.</w:t>
      </w:r>
    </w:p>
    <w:p>
      <w:pPr>
        <w:spacing w:after="0" w:line="157"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The novel coronavirus, or COVID-19, pandemic continues to persist. Although many of the initial restrictions imposed at the onset of the pandemic in the U.S. have been relaxed or lifted, there has been a resurgence of COVID-19 cases fueled by the recently identified, highly transmissible Omicron variant and the continued spread of the Delta variant. The full extent to which the COVID-19 pandemic will directly or indirectly impact the global economy, the lasting social effects, and impact on our business, results of operations, and financial condition will depend on future developments that are highly uncertain and cannot be accurately predicted. As of the date of issuance of these consolidated financial statements, we are not aware of any specific event or circumstance related to COVID-19 that would require us to update our estimates or judgments or adjust the carrying value of our assets or liabilities. As events continue to evolve and additional information becomes available, our estimates and assumptions may change materially in future periods. Please refer to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Factors Affecting Our Performance” included elsewhere in this Annual Report for more information regarding the impact of COVID-19 on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86"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U.S. dollar is our functional currency. Accordingly, monetary assets and liabilities denominated in currencies other than the U.S. dollar are remeasured into U.S. dollars at exchange rates in effect at the end of each period. Foreign currency transaction gains and losses from these remeasurements are recognized in other income (expense), net, within the consolidated statements of operations. Foreign currency transactions resulted in net gains of $0.2 million, $2.1 million, and $0.3 million for the years ended December 31, 2021, 2020, and 2019,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financial instruments that are exposed to concentrations of credit risk primarily consist of cash and cash equivalents, restricted cash, short-term deposits, accounts receivable and derivative financial instruments. We maintain our cash, cash equivalents, restricted cash, and short-term deposits with high-quality financial institutions mainly in the United States and Israel, the composition of which are regularly monitored by us. We have not experienced any material losses in such accounts. 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In addition, the potential risk of loss with any one counterparty resulting from this type of credit risk is monitored on an ongoing basis.</w:t>
      </w:r>
    </w:p>
    <w:p>
      <w:pPr>
        <w:spacing w:after="0" w:line="158"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Our customers are online merchants. For accounts receivable, we are exposed to credit risk in the event of nonpayment by online merchants to the extent the amounts are recorded in the consolidated balance sheets. We extend different levels of credit to online merchants and maintain reserves for potential credit losses based upon the expected collectability of accounts receivable. We manage credit risk related to our merchants by performing periodic evaluations of credit worthiness and consumer indebtedness and applying other credit risk monitoring procedures.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our merchants that represented 10% or more of Accounts receivable, net and Revenue: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2740" w:type="dxa"/>
            <w:vAlign w:val="bottom"/>
            <w:tcBorders>
              <w:bottom w:val="single" w:sz="8" w:color="auto"/>
            </w:tcBorders>
            <w:gridSpan w:val="4"/>
          </w:tcPr>
          <w:p>
            <w:pPr>
              <w:jc w:val="center"/>
              <w:ind w:left="449"/>
              <w:spacing w:after="0"/>
              <w:rPr>
                <w:sz w:val="20"/>
                <w:szCs w:val="20"/>
                <w:color w:val="auto"/>
              </w:rPr>
            </w:pPr>
            <w:r>
              <w:rPr>
                <w:rFonts w:ascii="Arial" w:cs="Arial" w:eastAsia="Arial" w:hAnsi="Arial"/>
                <w:sz w:val="14"/>
                <w:szCs w:val="14"/>
                <w:b w:val="1"/>
                <w:bCs w:val="1"/>
                <w:color w:val="auto"/>
              </w:rPr>
              <w:t>Accounts receivable, net</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Revenue</w:t>
            </w:r>
          </w:p>
        </w:tc>
        <w:tc>
          <w:tcPr>
            <w:tcW w:w="1620" w:type="dxa"/>
            <w:vAlign w:val="bottom"/>
            <w:tcBorders>
              <w:bottom w:val="single" w:sz="8" w:color="auto"/>
            </w:tcBorders>
          </w:tcPr>
          <w:p>
            <w:pPr>
              <w:spacing w:after="0"/>
              <w:rPr>
                <w:sz w:val="16"/>
                <w:szCs w:val="16"/>
                <w:color w:val="auto"/>
              </w:rPr>
            </w:pPr>
          </w:p>
        </w:tc>
      </w:tr>
      <w:tr>
        <w:trPr>
          <w:trHeight w:val="205"/>
        </w:trPr>
        <w:tc>
          <w:tcPr>
            <w:tcW w:w="28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right="349"/>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1620" w:type="dxa"/>
            <w:vAlign w:val="bottom"/>
            <w:tcBorders>
              <w:bottom w:val="single" w:sz="8" w:color="auto"/>
            </w:tcBorders>
          </w:tcPr>
          <w:p>
            <w:pPr>
              <w:spacing w:after="0"/>
              <w:rPr>
                <w:sz w:val="17"/>
                <w:szCs w:val="17"/>
                <w:color w:val="auto"/>
              </w:rPr>
            </w:pPr>
          </w:p>
        </w:tc>
      </w:tr>
      <w:tr>
        <w:trPr>
          <w:trHeight w:val="205"/>
        </w:trPr>
        <w:tc>
          <w:tcPr>
            <w:tcW w:w="28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8"/>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5"/>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20" w:hanging="314"/>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less than 10%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86"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Cash and cash equivalents consist of cash in banks and bank deposits. We consider all highly liquid investments, with an original maturity of three months or less at the date of purchase, to be cash equivalents. We maintain certain cash amounts restricted as to our withdrawal or use. Our restricted cash primarily consists of cash deposits to back letters of credit related to certain operating leases and cash deposits that are held to secure our hedging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Deposits</w:t>
      </w:r>
    </w:p>
    <w:p>
      <w:pPr>
        <w:spacing w:after="0" w:line="186"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Short-term deposits consist of deposits with maturities of 12 months or less as of the balance sheet date. Short-term deposits are reported at fair value as of each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measure financial assets and liabilities at fair value for each reporting period using a fair value hierarchy which requires us to maximize the use of observable inputs and minimize the use of unobservable inputs. A financial instrument’s classification within the fair value hierarchy is based upon the lowest level of input that is significant to the fair value measurement. Three levels of inputs may be used to measure fair value: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164" w:lineRule="exact"/>
        <w:rPr>
          <w:sz w:val="20"/>
          <w:szCs w:val="20"/>
          <w:color w:val="auto"/>
        </w:rPr>
      </w:pPr>
    </w:p>
    <w:p>
      <w:pPr>
        <w:ind w:right="400" w:firstLine="318"/>
        <w:spacing w:after="0" w:line="248"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3"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50" w:lineRule="exact"/>
        <w:rPr>
          <w:sz w:val="20"/>
          <w:szCs w:val="20"/>
          <w:color w:val="auto"/>
        </w:rPr>
      </w:pPr>
    </w:p>
    <w:p>
      <w:pPr>
        <w:ind w:right="80" w:firstLine="318"/>
        <w:spacing w:after="0" w:line="262" w:lineRule="auto"/>
        <w:rPr>
          <w:sz w:val="20"/>
          <w:szCs w:val="20"/>
          <w:color w:val="auto"/>
        </w:rPr>
      </w:pPr>
      <w:r>
        <w:rPr>
          <w:rFonts w:ascii="Arial" w:cs="Arial" w:eastAsia="Arial" w:hAnsi="Arial"/>
          <w:sz w:val="17"/>
          <w:szCs w:val="17"/>
          <w:color w:val="auto"/>
        </w:rPr>
        <w:t>Financial instruments consist of cash and cash equivalents, restricted cash, short-term deposits, accounts receivables, derivative financial instruments, accounts payables, accrued liabilities, indemnification guarantees, convertible preferred share warrant liabilities (prior to IPO), and convertible preferred share tranche rights (prior to IPO). Cash, restricted cash, accounts receivable, accounts payable, and accrued liabilities are stated at their carrying value, which approximates fair value due to the short time to the expected receipt or payment date. Cash equivalents, short-term deposits, derivative financial instruments, convertible preferred share warrant liabilities, and convertible preferred share tranche rights are stated at fair value on a recurring basis as disclosed in Note 4 below. Prior to IPO, the fair value measurement of convertible preferred share warrant liabilities and convertible preferred share tranche rights are measured using unobservable inputs that require a high level of judgment to determine fair value, and thus are classified as Level 3 financial instruments. We estimate the fair value of convertible preferred share warrant liabilities and convertible preferred share tranche rights using the Black-Scholes option-pricing model and a combination of the probability-weighted expected return method, or PWERM, and discounted present value model, respectively.</w:t>
      </w:r>
    </w:p>
    <w:p>
      <w:pPr>
        <w:spacing w:after="0" w:line="145"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record indemnification guarantees that we issue upon approving a transaction at fair value when issued using the income approach. To measure this guarantee, we consider the premium that would have been received for the same guarantee if it were issued in a stand-alone transaction. The fair value of these indemnification guarantees is determined based on historical chargeback claims, a risk premium fee that would be required for a third party to assume this liability, and an appropriate discount rate due to time. Historical chargeback guarantee claims are assumptions that are not readily observable in the marketplace and are generally classified as Level 3 inputs. Indemnification guarantees are recorded at fair value when issued and not remeasured to fair value each period. Please refer to Note 7 below for more information regarding indemnification guarantees.</w:t>
      </w:r>
    </w:p>
    <w:p>
      <w:pPr>
        <w:spacing w:after="0" w:line="15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Because of the inherent uncertainty of valuation, the estimated fair value of our financial instruments may differ significantly from the values that would have been used had a ready market for the financial instruments existed, and the differences could be material to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Accounts receivable are recorded at the invoiced amount, net of an allowance for doubtful accounts. The allowance for doubtful accounts is based on our assessment of the collectability of accounts. We regularly review the adequacy of the allowance for doubtful accounts based on a combination of factors, including an assessment of the current merchant’s credit worthiness, the age of the balance, the nature and size of the merchant, the financial condition of the merchant, and the amount of any receivables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dispute. Accounts receivable deemed uncollectible are charged against the allowance for doubtful accounts when identified. The allowance for doubtful accounts were $0.6 million for all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86" w:lineRule="exact"/>
        <w:rPr>
          <w:sz w:val="20"/>
          <w:szCs w:val="20"/>
          <w:color w:val="auto"/>
        </w:rPr>
      </w:pPr>
    </w:p>
    <w:p>
      <w:pPr>
        <w:ind w:right="240" w:firstLine="318"/>
        <w:spacing w:after="0" w:line="266" w:lineRule="auto"/>
        <w:rPr>
          <w:sz w:val="20"/>
          <w:szCs w:val="20"/>
          <w:color w:val="auto"/>
        </w:rPr>
      </w:pPr>
      <w:r>
        <w:rPr>
          <w:rFonts w:ascii="Arial" w:cs="Arial" w:eastAsia="Arial" w:hAnsi="Arial"/>
          <w:sz w:val="17"/>
          <w:szCs w:val="17"/>
          <w:color w:val="auto"/>
        </w:rPr>
        <w:t>We enter into foreign currency forward and option contracts with financial institutions to protect against foreign exchange risks largely attributable to our exposure to changes in the exchange rate of the New Israeli Shekel (“NIS”) against the U.S. dollar that are associated with forecasted future cash flows. Our primary objective in entering into these contracts is to reduce the volatility of earnings and cash flows associated with changes in foreign currency exchange rates. We do not use derivative instruments for trading or speculative purposes.</w:t>
      </w:r>
    </w:p>
    <w:p>
      <w:pPr>
        <w:spacing w:after="0" w:line="14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account for our derivative instruments as either assets or liabilities and carry them at fair value. The accounting for changes in the fair value of a derivative depends on the intended use of the derivative and the resulting designation. Derivative instruments that hedge the exposure to variability in expected future cash flows that are designated as cash flow hedges, are recorded as either prepaid expenses and other current assets or accrued expenses and other current liabilities in the consolidated balance sheets. We record changes in the fair value of these derivatives in accumulated other comprehensive profit (loss) in the consolidated balance sheets, until the forecasted transaction occurs upon which we reclassify the related gain or loss on the derivative to the same financial statement line item in the consolidated statements of operations to which the derivative relates.</w:t>
      </w:r>
    </w:p>
    <w:p>
      <w:pPr>
        <w:spacing w:after="0" w:line="15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Derivative instruments that hedge the exposure to variability in the fair value of assets or liabilities that are not currently designated as hedges for financial reporting purposes, are recorded as either prepaid expenses and other current assets or accrued expenses and other current liabilities in the consolidated balance sheets. We records changes in the fair value of these derivatives in other income (expense), net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are calculated using the straight-line method over the estimated useful lives of the respective assets. Expenditures for maintenance and repairs are expensed as incurred.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ind w:left="320"/>
              <w:spacing w:after="0"/>
              <w:rPr>
                <w:sz w:val="20"/>
                <w:szCs w:val="20"/>
                <w:color w:val="auto"/>
              </w:rPr>
            </w:pPr>
            <w:r>
              <w:rPr>
                <w:rFonts w:ascii="Arial" w:cs="Arial" w:eastAsia="Arial" w:hAnsi="Arial"/>
                <w:sz w:val="18"/>
                <w:szCs w:val="18"/>
                <w:color w:val="auto"/>
              </w:rPr>
              <w:t>The estimated useful lives of our property and equipment are as follows:</w:t>
            </w:r>
          </w:p>
        </w:tc>
        <w:tc>
          <w:tcPr>
            <w:tcW w:w="4840" w:type="dxa"/>
            <w:vAlign w:val="bottom"/>
          </w:tcPr>
          <w:p>
            <w:pPr>
              <w:spacing w:after="0"/>
              <w:rPr>
                <w:sz w:val="18"/>
                <w:szCs w:val="18"/>
                <w:color w:val="auto"/>
              </w:rPr>
            </w:pPr>
          </w:p>
        </w:tc>
      </w:tr>
      <w:tr>
        <w:trPr>
          <w:trHeight w:val="186"/>
        </w:trPr>
        <w:tc>
          <w:tcPr>
            <w:tcW w:w="640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484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98"/>
              </w:rPr>
              <w:t>3 years</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4840" w:type="dxa"/>
            <w:vAlign w:val="bottom"/>
          </w:tcPr>
          <w:p>
            <w:pPr>
              <w:jc w:val="center"/>
              <w:ind w:left="232"/>
              <w:spacing w:after="0"/>
              <w:rPr>
                <w:sz w:val="20"/>
                <w:szCs w:val="20"/>
                <w:color w:val="auto"/>
              </w:rPr>
            </w:pPr>
            <w:r>
              <w:rPr>
                <w:rFonts w:ascii="Arial" w:cs="Arial" w:eastAsia="Arial" w:hAnsi="Arial"/>
                <w:sz w:val="18"/>
                <w:szCs w:val="18"/>
                <w:color w:val="auto"/>
                <w:w w:val="98"/>
              </w:rPr>
              <w:t>5 – 7 years</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8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7"/>
              </w:rPr>
              <w:t>Shorter of remaining lease term or estimated useful life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8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Costs related to software acquired, developed, or modified solely to meet our internal requirements, with no substantive plans to market such software at the time of development are capitalized. Costs incurred during the preliminary project stage and during the post implementation operational stage are expensed as incurred. Eligible costs incurred during the application development stage of the project are capitalized. Capitalized software development costs are recorded as part of Other assets, noncurrent in the consolidated balance sheets. Maintenance costs are expensed as incurred. Capitalized software development costs are amortized on a straight-line basis over the software’s estimated useful life, which is four years and are recorded in cost of revenue in the consolidated statements of operations. As of December 31, 2021 and 2020, we have capitalized $3.5 million net and $2.1 million net, respectively, of qualifying software development costs. Amortization expenses related to capitalized software costs were $0.4 million, $0.0 million, and $0.0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center"/>
        <w:ind w:right="-9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 Implementation Costs</w:t>
      </w:r>
    </w:p>
    <w:p>
      <w:pPr>
        <w:spacing w:after="0" w:line="18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 xml:space="preserve">We capitalize certain implementation costs incurred in a cloud computing arrangement during the application development stage pursuant to Accounting Standards Codification, or ASC, 350-40, </w:t>
      </w:r>
      <w:r>
        <w:rPr>
          <w:rFonts w:ascii="Arial" w:cs="Arial" w:eastAsia="Arial" w:hAnsi="Arial"/>
          <w:sz w:val="18"/>
          <w:szCs w:val="18"/>
          <w:i w:val="1"/>
          <w:iCs w:val="1"/>
          <w:color w:val="auto"/>
        </w:rPr>
        <w:t>Internal Use Software.</w:t>
      </w:r>
      <w:r>
        <w:rPr>
          <w:rFonts w:ascii="Arial" w:cs="Arial" w:eastAsia="Arial" w:hAnsi="Arial"/>
          <w:sz w:val="18"/>
          <w:szCs w:val="18"/>
          <w:color w:val="auto"/>
        </w:rPr>
        <w:t xml:space="preserve"> These costs are amortized over the term of the hosting arrangement on a straight-line basis, and are included within operating expenses in the consolidated statements of operations. Costs incurred in the preliminary stages of development are analogous to research and development activities and are expensed as incurred. These capitalized costs are included in Other assets, noncurrent in the consolidated balance sheets. As of all of the periods presented, we have capitalized $0.3 million of qualifying cloud computing arrangement implementation costs. Amortization expenses related to capitalized cloud computing arrangement implementation costs were $0.2 million, $0.1 million, and $0.0 million for the years ended December 31, 2021, 2020, and 2019,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Leases are reviewed and classified as either capital or operating leases at their inception. In certain lease agreements, we may receive renewal or expansion options, rent holidays, and other incentives. For operating leases, we recognize lease costs on a straight-line basis once we take control of the space, without regard to deferred payment terms such as rent holidays that defer the commencement date of required payments. Additionally, incentives received are treated as a reduction of costs over the term of the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evaluate the recoverability of long-lived assets, including property and equipment,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our business strategy. Recoverability of these assets is measured by comparing the carrying amounts with the future undiscounted cash flows that the assets are expected to generate. If such review indicates that the carrying amount of long-lived assets is not recoverable, the carrying amount of such assets is reduced to fair value. We determined that there were no material events or changes in circumstances that indicated that our long-lived assets were impaired during the periods presented.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Guarantees</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 xml:space="preserve">We provide contractual assurances around the accuracy of our approvals so that our merchants can confidently automate a transaction’s execution. Our contracts obligate us to stand ready to indemnify our merchants for any costs incurred from a chargeback due to fraud (i.e., the “guarantee obligation”). Accordingly, we account for the guarantee obligation as an indemnification under the general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or ASC 460, and recognize a liability at fair value upon approving a transaction at an amount that represents what we would need</w:t>
      </w:r>
      <w:r>
        <w:rPr>
          <w:rFonts w:ascii="Arial" w:cs="Arial" w:eastAsia="Arial" w:hAnsi="Arial"/>
          <w:sz w:val="18"/>
          <w:szCs w:val="18"/>
          <w:i w:val="1"/>
          <w:iCs w:val="1"/>
          <w:color w:val="auto"/>
        </w:rPr>
        <w:t xml:space="preserve"> </w:t>
      </w:r>
      <w:r>
        <w:rPr>
          <w:rFonts w:ascii="Arial" w:cs="Arial" w:eastAsia="Arial" w:hAnsi="Arial"/>
          <w:sz w:val="18"/>
          <w:szCs w:val="18"/>
          <w:color w:val="auto"/>
        </w:rPr>
        <w:t>to pay a third party to relieve ourselves from this obligation. This liability is presented as Guarantee obligations on the consolidated balance sheets and will be released to revenue in the consolidated statements of operations.</w:t>
      </w:r>
    </w:p>
    <w:p>
      <w:pPr>
        <w:spacing w:after="0" w:line="158"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w:t>
      </w:r>
    </w:p>
    <w:p>
      <w:pPr>
        <w:spacing w:after="0" w:line="13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or ASC 450</w:t>
      </w:r>
      <w:r>
        <w:rPr>
          <w:rFonts w:ascii="Arial" w:cs="Arial" w:eastAsia="Arial" w:hAnsi="Arial"/>
          <w:sz w:val="18"/>
          <w:szCs w:val="18"/>
          <w:i w:val="1"/>
          <w:iCs w:val="1"/>
          <w:color w:val="auto"/>
        </w:rPr>
        <w:t>.</w:t>
      </w:r>
      <w:r>
        <w:rPr>
          <w:rFonts w:ascii="Arial" w:cs="Arial" w:eastAsia="Arial" w:hAnsi="Arial"/>
          <w:sz w:val="18"/>
          <w:szCs w:val="18"/>
          <w:color w:val="auto"/>
        </w:rPr>
        <w:t xml:space="preserve"> Inputs and assumptions used by management to calculate this provision are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transactions approved and the features of those transactions as well as historical information about chargebacks. It is possible that the estimate may change in the near term, and the effect of the change could be material. These liabilities are recorded within Provision for chargebacks, net on the consolidated balance sheets and will be reduced by credits issued or cash paid to merchants. Please refer to Note 7 below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 Warrants</w:t>
      </w:r>
    </w:p>
    <w:p>
      <w:pPr>
        <w:spacing w:after="0" w:line="186"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Prior to IPO, warrants to purchase our Series B/C and E-1 convertible preferred shares were recorded as a liability at fair value on our consolidated balance sheets as the underlying convertible preferred shares were contingently redeemable, upon a deemed liquidation event that is outside of our control, and therefore could have obligated us to transfer assets.</w:t>
      </w:r>
    </w:p>
    <w:p>
      <w:pPr>
        <w:spacing w:after="0" w:line="153"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Series B/C convertible preferred share warrants were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upon the completion of a qualified IPO. Upon IPO, the Series B/C convertible preferred share warrants were converted to warrants to purchase ordinary shares, and the then outstanding liability was reclassified to additional paid-in capital in the consolidated balance sheets. The warrants to purchase ordinary shares may be exercised any time prior to, and shall expire upon, the earlier of (a) April 29, 2025 or (b) immediately prior to the consummation of certain deemed liquidation events.</w:t>
      </w:r>
    </w:p>
    <w:p>
      <w:pPr>
        <w:spacing w:after="0" w:line="158" w:lineRule="exact"/>
        <w:rPr>
          <w:sz w:val="20"/>
          <w:szCs w:val="20"/>
          <w:color w:val="auto"/>
        </w:rPr>
      </w:pPr>
    </w:p>
    <w:p>
      <w:pPr>
        <w:ind w:right="140" w:firstLine="318"/>
        <w:spacing w:after="0" w:line="266" w:lineRule="auto"/>
        <w:rPr>
          <w:sz w:val="20"/>
          <w:szCs w:val="20"/>
          <w:color w:val="auto"/>
        </w:rPr>
      </w:pPr>
      <w:r>
        <w:rPr>
          <w:rFonts w:ascii="Arial" w:cs="Arial" w:eastAsia="Arial" w:hAnsi="Arial"/>
          <w:sz w:val="17"/>
          <w:szCs w:val="17"/>
          <w:color w:val="auto"/>
        </w:rPr>
        <w:t>The Series E-1 convertible preferred share warrants were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the completion of a deemed liquidation event, including a qualified IPO. Upon IPO, the Series E-1 convertible preferred share warrants were automatically exercised. Please refer to Note 9 below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 Tranche Rights</w:t>
      </w:r>
    </w:p>
    <w:p>
      <w:pPr>
        <w:spacing w:after="0" w:line="186"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Our Series E convertible preferred share purchase agreement provided the holders the obligation to purchase additional Series E convertible preferred shares at future dates. We determined that the tranche rights met the definition of a freestanding financial instrument as the tranche rights were legally detachable and separately exercisable from the Series E convertible preferred shares. We accounted for the tranche rights to purchase our Series E convertible preferred shares as an asset or liability on our consolidated balance sheets, as the tranche rights required us to transfer equity instruments upon future settlement.</w:t>
      </w:r>
    </w:p>
    <w:p>
      <w:pPr>
        <w:spacing w:after="0" w:line="154"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The tranche rights were recorded at fair value upon issuance and were remeasured to fair value upon settlement and at the end of each reporting period, with changes in fair value recognized as a gain or loss within Other income (expense), net in the consolidated statements of operations. Upon settlement and issuance of the additional Series E convertible preferred shares, the convertible preferred share tranche rights were reclassified from being an asset or liability to convertible preferred shares in the consolidated balance sheets. Upon IPO, the convertible preferred shares automatically converted to ordinary shares. Please refer to Note 8 below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primarily generate revenue by granting merchants access to our eCommerce risk management platform and reviewing and approving eCommerce transactions for legitimacy. Revenue is also generated from the issuance of indemnification guarantees as noted above within “Indemnification Guarantees”. For the majority of our revenue, merchants pay us a percentage of every dollar of the gross merchandise volume, or GMV, that we approve and guarantee on their behalf. Our fee, as determined by our risk-based pricing model, in these situations is a percentage of the GMV of our merchants’ orders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spacing w:after="0" w:line="12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As noted above within “Indemnification Guarantees”, our contracts with our merchants obligate us to review eCommerce transactions for legitimacy as well as to stand ready to indemnify merchants for costs incurred associated with an approved transaction in the event of a chargeback due to fraud. Our fee is allocated between the consideration owed to us for our fraud review service and the consideration owed to us for issuing indemnification guarantees which are recorded at fair value. Consideration allocated to fraud review is recognized as revenue over the contract period in the month that the transactions are approved while consideration allocated to the indemnification guarantee is recognized as we are released from risk under the guarantee, generally over a six-month period from the date of the transaction.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revenue net of cancellations and adjustments for minimum service level agreements.</w:t>
      </w:r>
    </w:p>
    <w:p>
      <w:pPr>
        <w:spacing w:after="0" w:line="164"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In accordance with ASC 606, revenue is recognized when a customer obtains control of promised products. The amount of revenue recognized reflects the consideration that we expect to receive in exchange for these products. To achieve the core principle of this standard, we applied the following five steps:</w:t>
      </w:r>
    </w:p>
    <w:p>
      <w:pPr>
        <w:spacing w:after="0" w:line="135" w:lineRule="exact"/>
        <w:rPr>
          <w:sz w:val="20"/>
          <w:szCs w:val="20"/>
          <w:color w:val="auto"/>
        </w:rPr>
      </w:pPr>
    </w:p>
    <w:p>
      <w:pPr>
        <w:ind w:left="780" w:hanging="456"/>
        <w:spacing w:after="0"/>
        <w:tabs>
          <w:tab w:leader="none" w:pos="78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contract, or contracts, with the merchant</w:t>
      </w:r>
    </w:p>
    <w:p>
      <w:pPr>
        <w:spacing w:after="0" w:line="182"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determine that we have a contract with a merchant when the contract is approved, each party’s rights and obligations regarding the products to be transferred can be identified, the payment terms for the products can be identified, we have determined the merchant has the ability and intent to pay, and the contract has commercial substance. At contract inception, we evaluate whether two or more contracts should be combined and accounted for as a single contract and whether the combined or single contract includes more than one performance obligation. Contracts with our merchants are typically for a period of one year.</w:t>
      </w:r>
    </w:p>
    <w:p>
      <w:pPr>
        <w:spacing w:after="0" w:line="136" w:lineRule="exact"/>
        <w:rPr>
          <w:sz w:val="20"/>
          <w:szCs w:val="20"/>
          <w:color w:val="auto"/>
        </w:rPr>
      </w:pPr>
    </w:p>
    <w:p>
      <w:pPr>
        <w:ind w:left="780" w:hanging="456"/>
        <w:spacing w:after="0"/>
        <w:tabs>
          <w:tab w:leader="none" w:pos="78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performance obligations in the contract</w:t>
      </w:r>
    </w:p>
    <w:p>
      <w:pPr>
        <w:spacing w:after="0" w:line="182"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Performance obligations promised in a contract are identified based on the products that will be transferred to the merchant that are both capable of being distinct, whereby the merchant can benefit from the products either on their own or together with other resources that are readily available from third parties or from us, and are distinct in the context of the contract, whereby the transfer of the products is separately identifiable from other promises in the contract.</w:t>
      </w:r>
    </w:p>
    <w:p>
      <w:pPr>
        <w:spacing w:after="0" w:line="15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For SaaS arrangements, we provide access to our cloud-hosted software platform and reviewing and approving eCommerce transaction for legitimacy, without providing the merchant the right to take possession of our software, which we consider to be a single performance obligation. Revenue generated from the issuance of indemnification guarantees is accounted for under ASC 460. Please refer to “Indemnification Guarantees” above and Note 7 below for additional information.</w:t>
      </w:r>
    </w:p>
    <w:p>
      <w:pPr>
        <w:spacing w:after="0" w:line="137" w:lineRule="exact"/>
        <w:rPr>
          <w:sz w:val="20"/>
          <w:szCs w:val="20"/>
          <w:color w:val="auto"/>
        </w:rPr>
      </w:pPr>
    </w:p>
    <w:p>
      <w:pPr>
        <w:ind w:left="780" w:hanging="456"/>
        <w:spacing w:after="0"/>
        <w:tabs>
          <w:tab w:leader="none" w:pos="78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the transaction price</w:t>
      </w:r>
    </w:p>
    <w:p>
      <w:pPr>
        <w:spacing w:after="0" w:line="18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As our contracts include an unknown quantity of approved transactions at a fixed contractual rate per approved transaction value executed on a monthly basis, the contract price is deemed variable. We allocate the variable consideration to the month in which we have the contractual right to bill under the contract as this represents the amount of consideration to which we expect to be entitled for the transfer of products during that month. Certain of our contracts include additional forms of variable consideration such as service level commitments relating to uptime availability and minimum approval rates as well as provisions that provide for reimbursements should our merchant’s consumer cancel an approved order. If we fail to meet these commitments, merchants are generally permitted to receive a refund in the form of a credit on their invoice. Under certain arrangements, when the merchant’s consumer cancels an order that we have approved, we provide a refund of some or all of the fees owed by our merchant to us generally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form of a credit on our merchant’s invoice. The transaction price is reduced to reflect our estimate of the amount of consideration to which we are entitled based on the terms of the contract.</w:t>
      </w:r>
    </w:p>
    <w:p>
      <w:pPr>
        <w:spacing w:after="0" w:line="15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Payment terms and conditions vary by contract type, although terms generally include a requirement to pay within 30 days. In instances where the timing of revenue recognition differs from the timing of invoicing, we have determined that our contracts do not include a significant financing component. The primary purpose of our invoicing terms is to provide our merchants with simplified and predictable ways of purchasing our products; not to receive financing from our merchants or to provide merchants with financing. We applied the practical expedient in ASC 606 and did not evaluate payment terms of one year or less for the existence of a significant financing component. Revenue is recognized net of any taxes collected from merchants (e.g., sales tax and other indirect taxes), which are subsequently remitted to governmental entities. We generally do not offer a right of refund in our contracts.</w:t>
      </w:r>
    </w:p>
    <w:p>
      <w:pPr>
        <w:spacing w:after="0" w:line="140" w:lineRule="exact"/>
        <w:rPr>
          <w:sz w:val="20"/>
          <w:szCs w:val="20"/>
          <w:color w:val="auto"/>
        </w:rPr>
      </w:pPr>
    </w:p>
    <w:p>
      <w:pPr>
        <w:ind w:left="780" w:hanging="456"/>
        <w:spacing w:after="0"/>
        <w:tabs>
          <w:tab w:leader="none" w:pos="78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82"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Access to our cloud-hosted software is considered one performance obligation in the context of the contract and accordingly the transaction price is allocated to this single performance obligation.</w:t>
      </w:r>
    </w:p>
    <w:p>
      <w:pPr>
        <w:spacing w:after="0" w:line="135" w:lineRule="exact"/>
        <w:rPr>
          <w:sz w:val="20"/>
          <w:szCs w:val="20"/>
          <w:color w:val="auto"/>
        </w:rPr>
      </w:pPr>
    </w:p>
    <w:p>
      <w:pPr>
        <w:ind w:left="780" w:hanging="456"/>
        <w:spacing w:after="0"/>
        <w:tabs>
          <w:tab w:leader="none" w:pos="78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of the revenue when, or as, a performance obligation is satisfied</w:t>
      </w:r>
    </w:p>
    <w:p>
      <w:pPr>
        <w:spacing w:after="0" w:line="182" w:lineRule="exact"/>
        <w:rPr>
          <w:sz w:val="20"/>
          <w:szCs w:val="20"/>
          <w:color w:val="auto"/>
        </w:rPr>
      </w:pPr>
    </w:p>
    <w:p>
      <w:pPr>
        <w:ind w:right="360" w:firstLine="318"/>
        <w:spacing w:after="0" w:line="247" w:lineRule="auto"/>
        <w:rPr>
          <w:sz w:val="20"/>
          <w:szCs w:val="20"/>
          <w:color w:val="auto"/>
        </w:rPr>
      </w:pPr>
      <w:r>
        <w:rPr>
          <w:rFonts w:ascii="Arial" w:cs="Arial" w:eastAsia="Arial" w:hAnsi="Arial"/>
          <w:sz w:val="18"/>
          <w:szCs w:val="18"/>
          <w:color w:val="auto"/>
        </w:rPr>
        <w:t>Revenue is recognized at the time the related performance obligation is satisfied by transferring control of the promised service to the customer. Revenue is recognized in an amount that reflects the consideration that we expect to receive in exchange for those products. For SaaS arrangements, we have determined that these arrangements meet the variable consideration allocation exception and revenue is recognized over the contract period in the month that the transactions are approved.</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 Balances</w:t>
      </w:r>
    </w:p>
    <w:p>
      <w:pPr>
        <w:spacing w:after="0" w:line="182" w:lineRule="exact"/>
        <w:rPr>
          <w:sz w:val="20"/>
          <w:szCs w:val="20"/>
          <w:color w:val="auto"/>
        </w:rPr>
      </w:pPr>
    </w:p>
    <w:p>
      <w:pPr>
        <w:ind w:right="220" w:firstLine="318"/>
        <w:spacing w:after="0" w:line="266" w:lineRule="auto"/>
        <w:rPr>
          <w:sz w:val="20"/>
          <w:szCs w:val="20"/>
          <w:color w:val="auto"/>
        </w:rPr>
      </w:pPr>
      <w:r>
        <w:rPr>
          <w:rFonts w:ascii="Arial" w:cs="Arial" w:eastAsia="Arial" w:hAnsi="Arial"/>
          <w:sz w:val="17"/>
          <w:szCs w:val="17"/>
          <w:color w:val="auto"/>
        </w:rPr>
        <w:t>Contract assets consist of unbilled accounts receivable. The terms of our agreements are monthly, annual, or multi-year, and we typically invoice our merchants based on monthly usage. In some arrangements, a right to consideration for our performance under the merchant contract may occur before invoicing to the merchant, resulting in an unbilled accounts receivable. The amount of unbilled accounts receivable included within accounts receivable, net on the consolidated balance sheets was immaterial for the periods presented.</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to Obtain a Contract</w:t>
      </w:r>
    </w:p>
    <w:p>
      <w:pPr>
        <w:spacing w:after="0" w:line="182"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capitalize sales commissions and associated payroll taxes paid that are incremental to the acquisition of merchant contracts. These costs are recorded as Deferred contract acquisition costs on the consolidated balance sheets.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spacing w:after="0" w:line="15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Sales commissions for the renewal of a contract are not considered commensurate with the sales commissions paid for the acquisition of the initial contract given a substantive difference in commission rates in proportion to their respective contract values. Sales commissions paid for the renewal of a contract are amortized over the contractual term of the renewal. Sales commissions paid upon the initial acquisition of a merchant contract are amortized over an estimated period of benefit of four years. We determine the period of benefit for sales commissions paid for the acquisition of the initial merchant contract by taking into consideration the estimated customer life, technological life of our software, and other factors. These factors involved in the determination of the period of benefit include inherent uncertainties and the application of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20" w:firstLine="318"/>
        <w:spacing w:after="0" w:line="270" w:lineRule="auto"/>
        <w:rPr>
          <w:sz w:val="20"/>
          <w:szCs w:val="20"/>
          <w:color w:val="auto"/>
        </w:rPr>
      </w:pPr>
      <w:r>
        <w:rPr>
          <w:rFonts w:ascii="Arial" w:cs="Arial" w:eastAsia="Arial" w:hAnsi="Arial"/>
          <w:sz w:val="17"/>
          <w:szCs w:val="17"/>
          <w:color w:val="auto"/>
        </w:rPr>
        <w:t>Sales commissions are amortized on a straight-line basis and are included in sales and marketing expense in the consolidated statements of operations. 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to Fulfill a Contract</w:t>
      </w:r>
    </w:p>
    <w:p>
      <w:pPr>
        <w:spacing w:after="0" w:line="182"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capitalize certain integration services required in order to be able to fulfill the obligation to provide our products to our merchants. Integration services are promises that are not capable of being distinct. These costs are capitalized to the extent they are directly related to a contract, are recoverable, and generate or enhance resources that will be used in delivering our SaaS products. These costs are recorded as deferred contract fulfillment costs in Other assets, noncurrent on the consolidated balance sheets.</w:t>
      </w:r>
    </w:p>
    <w:p>
      <w:pPr>
        <w:spacing w:after="0" w:line="15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Capitalized costs to fulfill a contract are amortized on a straight-line basis over the expected period of benefit of four years and are included in cost of revenue in the consolidated statements of operations. We determine the period of benefit by taking into consideration the estimated customer life, technological life of our software, and other factors. These factors involved in the determination of period of benefit involve inherent uncertainties and the application of significant judgment. We periodically review these deferred contract fulfillment costs to determine whether events or changes in circumstances have occurred that could impact the period of benefit. There were no impairment losses recorded during the periods presented.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6" w:lineRule="exact"/>
        <w:rPr>
          <w:sz w:val="20"/>
          <w:szCs w:val="20"/>
          <w:color w:val="auto"/>
        </w:rPr>
      </w:pPr>
    </w:p>
    <w:p>
      <w:pPr>
        <w:ind w:right="300" w:firstLine="318"/>
        <w:spacing w:after="0" w:line="266" w:lineRule="auto"/>
        <w:rPr>
          <w:sz w:val="20"/>
          <w:szCs w:val="20"/>
          <w:color w:val="auto"/>
        </w:rPr>
      </w:pPr>
      <w:r>
        <w:rPr>
          <w:rFonts w:ascii="Arial" w:cs="Arial" w:eastAsia="Arial" w:hAnsi="Arial"/>
          <w:sz w:val="17"/>
          <w:szCs w:val="17"/>
          <w:color w:val="auto"/>
        </w:rPr>
        <w:t>Cost of revenue primarily consist of chargeback expenses, net of chargebacks won, and other expenses directly related to providing our products to our merchants. These other expenses include compensation and benefits related costs, including share-based compensation expense associated with teams integral in providing our service, hosting fees and software costs, payment processing fees, amortization of capitalized software development costs and deferred contract fulfillment costs, depreciation expense, and allocated overhead.</w:t>
      </w:r>
    </w:p>
    <w:p>
      <w:pPr>
        <w:spacing w:after="0" w:line="140"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Chargeback claims can be disputed and if the decision of the dispute concludes that the order was legitimate and not fraudulent, the chargeback is classified as chargeback won. We present chargeback expenses net of chargebacks won, since such amounts are refunded to us. Amounts for chargebacks won were $14.3 million, $8.2 million, and $6.8 million for the years ended December 31, 2021, 2020, and 2019, respectively.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Research and development costs primarily consist of compensation and benefits related costs, including share-based compensation expense associated with research and development teams that are responsible for the design, development, and testing of our eCommerce risk management platform infrastructure including expenses associated with adding new features, increasing the functionality, and enhancing the usability of our platform. Research and development costs also consist of third-party software hosting fees used by our research and development teams, depreciation expense, and allocated overhead. Research and development costs are expensed as incurred.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6"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Sales and marketing costs primarily consist of compensation and benefits related costs, including share-based compensation expense directly associated with our sales and marketing teams. Sales and marketing costs also consists of costs associated with conferences, events, digital marketing and advertising programs, amortization of deferred contract acquisition costs including commissions, depreciation expense, and allocated overhead. Sales and marketing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20" w:firstLine="318"/>
        <w:spacing w:after="0" w:line="280" w:lineRule="auto"/>
        <w:rPr>
          <w:sz w:val="20"/>
          <w:szCs w:val="20"/>
          <w:color w:val="auto"/>
        </w:rPr>
      </w:pPr>
      <w:r>
        <w:rPr>
          <w:rFonts w:ascii="Arial" w:cs="Arial" w:eastAsia="Arial" w:hAnsi="Arial"/>
          <w:sz w:val="17"/>
          <w:szCs w:val="17"/>
          <w:color w:val="auto"/>
        </w:rPr>
        <w:t>Digital marketing programs include advertising, promotional events, and brand-building activities. Advertising costs are expensed as incurred and were $5.2 million, $2.1 million, and $4.7 million for the years ended December 31, 2021, 2020, and 2019, respectively.</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General and administrative costs primarily consist of compensation and benefits related costs, including share-based compensation expense associated with our finance, legal, human resources, information technology and administrative functions. General and administrative costs also consist of third-party professional service fees for external legal, accounting and other consulting services, depreciation expense, and allocated overhead. General and administrative costs are expensed as incurred.</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Share-based compensation expense related to share-based awards is recognized based on the fair value of the awards granted. The fair value of each share option award is estimated on the grant date using the Black-Scholes option-pricing model. The Black-Scholes option-pricing model requires the input of highly subjective assumptions, including the fair value of the underlying ordinary shares, the expected term of the share option, the expected volatility of the price of our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15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have granted to employees, RSUs, that vest either upon the (a) satisfaction of service-based vesting conditions only and (b) satisfaction of both service-based and performance-based vesting conditions. The fair value of each RSU award is based on the fair value of the underlying ordinary shares as of the grant date. We have also granted to our Chief Executive Officer (“CEO”), RSUs, that vest upon the satisfaction of service-based, performance-based, and market-based vesting conditions. A Monte-Carlo simulation model was used to determine the grant date fair value by simulating a range of scenarios with each outcome resulting in a determined value. The grant date fair value of this award is the average of the values determined by each simulation. The simulation was also used to derive the requisite service period.</w:t>
      </w:r>
    </w:p>
    <w:p>
      <w:pPr>
        <w:spacing w:after="0" w:line="14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For RSU awards with both service-based and performance-based vesting conditions, the service-based vesting condition has varying terms, but is generally satisfied over four to five years. The performance-based vesting condition is satisfied upon the occurrence of a qualifying liquidation event which is defined as the earlier to occur of (i) the six month anniversary of or, if earlier, March 15 of the year following, the occurrence of an IPO or (ii) consummation of a merger and acquisition, or M&amp;A, transaction of the Company. The performance-based vesting condition underlying these awards was satisfied upon our IPO. The market-based condition underlying the CEO RSU is satisfied upon the trading price of our ordinary shares meeting certain thresholds.</w:t>
      </w:r>
    </w:p>
    <w:p>
      <w:pPr>
        <w:spacing w:after="0" w:line="158"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RSU awards with service-based vesting conditions only are recognized using the straight-line method. RSU awards with more than just a service-based vesting condition are recognized using the accelerated attribution method once the performance-based vesting condition is probable of occurring.</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86" w:lineRule="exact"/>
        <w:rPr>
          <w:sz w:val="20"/>
          <w:szCs w:val="20"/>
          <w:color w:val="auto"/>
        </w:rPr>
      </w:pPr>
    </w:p>
    <w:p>
      <w:pPr>
        <w:ind w:right="280" w:firstLine="318"/>
        <w:spacing w:after="0" w:line="270" w:lineRule="auto"/>
        <w:rPr>
          <w:sz w:val="20"/>
          <w:szCs w:val="20"/>
          <w:color w:val="auto"/>
        </w:rPr>
      </w:pPr>
      <w:r>
        <w:rPr>
          <w:rFonts w:ascii="Arial" w:cs="Arial" w:eastAsia="Arial" w:hAnsi="Arial"/>
          <w:sz w:val="17"/>
          <w:szCs w:val="17"/>
          <w:color w:val="auto"/>
        </w:rPr>
        <w:t xml:space="preserve">We are subject to income taxes in Israel, the United States, and other jurisdictions. These other jurisdictions may have different statutory rates than in Israel. Income taxes are accounted for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future tax consequences attributable to differences between the consolidated financial statements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Valuation allowances are provided when necessary to reduce deferred tax assets to an amount that is more likely than not to be realized.</w:t>
      </w:r>
    </w:p>
    <w:p>
      <w:pPr>
        <w:spacing w:after="0" w:line="15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(Loss) Per Share Attributable to Ordinary Shareholders</w:t>
      </w:r>
    </w:p>
    <w:p>
      <w:pPr>
        <w:spacing w:after="0" w:line="186"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We compute net profit (loss) per share using the two-class method required for participating securities. The two-class method requires income available to ordinary shareholders for the period to be allocated between ordinary shares and participating securities based upon their respective rights to receive dividends as if all income for the period had been distributed. Under the two-class method, we allocate earnings proportionately to Class A and B ordinary shares outstanding for the period. Prior to IPO, we considered our convertible preferred shares to be participating securities as the holders of the convertible preferred shares would be entitled to dividends in preference to ordinary shareholders. These participating securities do not contractually require the holders of such shares to participate in our losses. As such, net loss for the periods presented was not allocated to our participating securities.</w:t>
      </w:r>
    </w:p>
    <w:p>
      <w:pPr>
        <w:spacing w:after="0" w:line="158"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Our basic net profit (loss) per share is calculated by dividing net profit (loss) attributable to ordinary shareholders by the weighted-average number of ordinary shares outstanding for the period, without consideration of potentially dilutive securities. The diluted net profit (loss) per share is calculated by giving effect to all potentially dilutive securities outstanding for the period using the treasury stock method or the if-converted method based on the nature of such securities. Diluted net profit (loss) per share is the same as basic net profit (loss) per share in periods when the effects of potentially dilutive shares of ordinary shares are anti-dilutive.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6"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We operate our business in one operating segment and therefore have one reportable segment. Operating segments are defined as components of an entity that engage in business activities for which discrete financial information is available and regularly reviewed by the chief operating decision maker, who is our CEO, in deciding how to allocate resources and assess performance. Our chief operating decision maker allocates resources and assesses performance based upon discrete financial information at the consolidated level.</w:t>
      </w:r>
    </w:p>
    <w:p>
      <w:pPr>
        <w:spacing w:after="0" w:line="155" w:lineRule="exact"/>
        <w:rPr>
          <w:sz w:val="20"/>
          <w:szCs w:val="20"/>
          <w:color w:val="auto"/>
        </w:rPr>
      </w:pPr>
    </w:p>
    <w:p>
      <w:pPr>
        <w:ind w:right="440" w:firstLine="318"/>
        <w:spacing w:after="0" w:line="251" w:lineRule="auto"/>
        <w:rPr>
          <w:sz w:val="20"/>
          <w:szCs w:val="20"/>
          <w:color w:val="auto"/>
        </w:rPr>
      </w:pPr>
      <w:r>
        <w:rPr>
          <w:rFonts w:ascii="Arial" w:cs="Arial" w:eastAsia="Arial" w:hAnsi="Arial"/>
          <w:sz w:val="18"/>
          <w:szCs w:val="18"/>
          <w:color w:val="auto"/>
        </w:rPr>
        <w:t>Revenue by geographical region can be found in the revenue recognition disclosures in Note 3 below. The following table presents our property and equipment, net of depreciation and amortization, by geographic region: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179"/>
        </w:trPr>
        <w:tc>
          <w:tcPr>
            <w:tcW w:w="80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79"/>
        </w:trPr>
        <w:tc>
          <w:tcPr>
            <w:tcW w:w="8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Israel</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14,868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9"/>
        </w:trPr>
        <w:tc>
          <w:tcPr>
            <w:tcW w:w="800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94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16,968</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As an emerging growth company, or EGC, the Jumpstart Our Business Startups Act, or the JOBS Act, allows us to delay adoption of new or revised accounting pronouncements applicable to public companies until such pronouncements are made applicable to private companies. The JOBS Act does not preclude an EGC from early adopting new or revised accounting standards. We have elected to use extended transition periods permissible under the JOBS Act while also early adopting certain accounting pronouncements. The adoption dates discussed below reflect these elections.</w:t>
      </w:r>
    </w:p>
    <w:p>
      <w:pPr>
        <w:spacing w:after="0" w:line="136"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which simplifies the designation and measurement requirements of hedge accounting in certain situations and allows companies to</w:t>
      </w:r>
      <w:r>
        <w:rPr>
          <w:rFonts w:ascii="Arial" w:cs="Arial" w:eastAsia="Arial" w:hAnsi="Arial"/>
          <w:sz w:val="18"/>
          <w:szCs w:val="18"/>
          <w:i w:val="1"/>
          <w:iCs w:val="1"/>
          <w:color w:val="auto"/>
        </w:rPr>
        <w:t xml:space="preserve"> </w:t>
      </w:r>
      <w:r>
        <w:rPr>
          <w:rFonts w:ascii="Arial" w:cs="Arial" w:eastAsia="Arial" w:hAnsi="Arial"/>
          <w:sz w:val="18"/>
          <w:szCs w:val="18"/>
          <w:color w:val="auto"/>
        </w:rPr>
        <w:t>better align their hedge accounting with their risk management activities. The guidance also eases certain hedge effectiveness assessment requirements, expands the eligibility of hedging strategies that may qualify for hedge accounting and modifies certain presentation and disclosure requirements. We adopted ASU 2017-12 as of January 1, 2021 and the adoption did not have a material impact on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8"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including subsequent amendments thereafter, which would require lessees to put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 In June 2020, the FASB issued ASU No. 2020-05, </w:t>
      </w:r>
      <w:r>
        <w:rPr>
          <w:rFonts w:ascii="Arial" w:cs="Arial" w:eastAsia="Arial" w:hAnsi="Arial"/>
          <w:sz w:val="18"/>
          <w:szCs w:val="18"/>
          <w:i w:val="1"/>
          <w:iCs w:val="1"/>
          <w:color w:val="auto"/>
        </w:rPr>
        <w:t>Revenue from Contracts with Customers (Topic 606) and Leases (Topic 842): Effective Dates for Certain Entities</w:t>
      </w:r>
      <w:r>
        <w:rPr>
          <w:rFonts w:ascii="Arial" w:cs="Arial" w:eastAsia="Arial" w:hAnsi="Arial"/>
          <w:sz w:val="18"/>
          <w:szCs w:val="18"/>
          <w:color w:val="auto"/>
        </w:rPr>
        <w:t>, which defers the effective date of ASU 2016-02 for non-public entities to fiscal years beginning after December 15, 2021, and interim periods within fiscal years beginning after December 15, 2022. The guidance will be effective for us beginning January 1, 2022, and interim periods in fiscal years beginning January 1, 2023.</w:t>
      </w:r>
    </w:p>
    <w:p>
      <w:pPr>
        <w:spacing w:after="0" w:line="155"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will adopt this guidance as of January 1, 2022 and plan to use the modified retrospective method of applying the new standard at the adoption date. Under this approach, we will continue to report comparative periods presented in the period of adoption under ASC 840. We will elect the package of practical expedients permitted under the transition guidance, which allows us to not reassess our historical conclusions relating to lease identification and classification for existing leases upon adoption. As an accounting policy, we will elect to keep leases with an initial term of 12 months or less off of our consolidated balance sheets and will not separate lease and non-lease components by class of underlying asset. We expect the adoption will result in the initial recognition of operating lease right-of-use assets and related operating lease liabilities that were not previously recognized of approximately $37.5 million. The adoption of Topic 842 will not have a material impact to our consolidated statements of operations or cash flows.</w:t>
      </w:r>
    </w:p>
    <w:p>
      <w:pPr>
        <w:spacing w:after="0" w:line="14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including subsequent amendments thereafter, which replaces the existing incurred loss impairment model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 model and requires a financial asset measured at amortized cost to be presented at the net amount expected to be collected. The guidance will be effective for us beginning January 1, 2023, and interim periods therein. Early adoption is permitted. We are currently evaluating whether to early adopt ASU 2016-13 and the effect that the guidance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revenue by region based on the billing address of our merchants: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2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124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26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9"/>
        </w:trPr>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Percentage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right"/>
              <w:ind w:right="223"/>
              <w:spacing w:after="0" w:line="13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Revenue</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9"/>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thousands, except where indicated)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81,393</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11,077</w:t>
            </w:r>
          </w:p>
        </w:tc>
        <w:tc>
          <w:tcPr>
            <w:tcW w:w="1680" w:type="dxa"/>
            <w:vAlign w:val="bottom"/>
            <w:gridSpan w:val="3"/>
          </w:tcPr>
          <w:p>
            <w:pPr>
              <w:jc w:val="right"/>
              <w:ind w:right="16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4,953</w:t>
            </w:r>
          </w:p>
        </w:tc>
        <w:tc>
          <w:tcPr>
            <w:tcW w:w="1680" w:type="dxa"/>
            <w:vAlign w:val="bottom"/>
            <w:gridSpan w:val="3"/>
          </w:tcPr>
          <w:p>
            <w:pPr>
              <w:jc w:val="right"/>
              <w:ind w:right="16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19,616</w:t>
            </w:r>
          </w:p>
        </w:tc>
        <w:tc>
          <w:tcPr>
            <w:tcW w:w="1680" w:type="dxa"/>
            <w:vAlign w:val="bottom"/>
            <w:gridSpan w:val="3"/>
          </w:tcPr>
          <w:p>
            <w:pPr>
              <w:jc w:val="right"/>
              <w:ind w:right="16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680" w:type="dxa"/>
            <w:vAlign w:val="bottom"/>
            <w:gridSpan w:val="3"/>
            <w:shd w:val="clear" w:color="auto" w:fill="CCEEFF"/>
          </w:tcPr>
          <w:p>
            <w:pPr>
              <w:jc w:val="right"/>
              <w:ind w:right="16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80" w:type="dxa"/>
            <w:vAlign w:val="bottom"/>
            <w:gridSpan w:val="3"/>
            <w:shd w:val="clear" w:color="auto" w:fill="CCEEFF"/>
          </w:tcPr>
          <w:p>
            <w:pPr>
              <w:jc w:val="right"/>
              <w:ind w:right="16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80" w:type="dxa"/>
            <w:vAlign w:val="bottom"/>
            <w:gridSpan w:val="3"/>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9"/>
        </w:trPr>
        <w:tc>
          <w:tcPr>
            <w:tcW w:w="2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169,740</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ind w:left="320" w:hanging="314"/>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revenue based on the nature and type of service provided to our merchants: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22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11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22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Percentage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ind w:right="203"/>
              <w:spacing w:after="0" w:line="13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9"/>
              </w:rPr>
              <w:t>Revenue</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9"/>
              </w:rPr>
              <w:t>Revenue</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 thousands, except where indicated)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Fraud review service</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(ASC 606)</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66,471</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85"/>
        </w:trPr>
        <w:tc>
          <w:tcPr>
            <w:tcW w:w="2340" w:type="dxa"/>
            <w:vAlign w:val="bottom"/>
          </w:tcPr>
          <w:p>
            <w:pPr>
              <w:ind w:left="20"/>
              <w:spacing w:after="0" w:line="185" w:lineRule="exact"/>
              <w:rPr>
                <w:sz w:val="20"/>
                <w:szCs w:val="20"/>
                <w:color w:val="auto"/>
              </w:rPr>
            </w:pPr>
            <w:r>
              <w:rPr>
                <w:rFonts w:ascii="Arial" w:cs="Arial" w:eastAsia="Arial" w:hAnsi="Arial"/>
                <w:sz w:val="18"/>
                <w:szCs w:val="18"/>
                <w:color w:val="auto"/>
              </w:rPr>
              <w:t>Indemnification guarantee</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revenue (ASC 460)</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72,966</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9"/>
        </w:trPr>
        <w:tc>
          <w:tcPr>
            <w:tcW w:w="2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169,740</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primarily generate revenue from our chargeback guarantee offering. Revenue generated from other offerings are not material.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9"/>
        </w:trPr>
        <w:tc>
          <w:tcPr>
            <w:tcW w:w="64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179"/>
        </w:trPr>
        <w:tc>
          <w:tcPr>
            <w:tcW w:w="6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718"/>
              <w:spacing w:after="0"/>
              <w:rPr>
                <w:sz w:val="20"/>
                <w:szCs w:val="20"/>
                <w:color w:val="auto"/>
              </w:rPr>
            </w:pPr>
            <w:r>
              <w:rPr>
                <w:rFonts w:ascii="Arial" w:cs="Arial" w:eastAsia="Arial" w:hAnsi="Arial"/>
                <w:sz w:val="18"/>
                <w:szCs w:val="18"/>
                <w:color w:val="auto"/>
                <w:w w:val="97"/>
              </w:rPr>
              <w:t>2,696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Additions to deferred contract acquisition costs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left="718"/>
              <w:spacing w:after="0"/>
              <w:rPr>
                <w:sz w:val="20"/>
                <w:szCs w:val="20"/>
                <w:color w:val="auto"/>
              </w:rPr>
            </w:pPr>
            <w:r>
              <w:rPr>
                <w:rFonts w:ascii="Arial" w:cs="Arial" w:eastAsia="Arial" w:hAnsi="Arial"/>
                <w:sz w:val="18"/>
                <w:szCs w:val="18"/>
                <w:color w:val="auto"/>
                <w:w w:val="97"/>
              </w:rPr>
              <w:t>5,857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2,079</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678"/>
              <w:spacing w:after="0"/>
              <w:rPr>
                <w:sz w:val="20"/>
                <w:szCs w:val="20"/>
                <w:color w:val="auto"/>
              </w:rPr>
            </w:pPr>
            <w:r>
              <w:rPr>
                <w:rFonts w:ascii="Arial" w:cs="Arial" w:eastAsia="Arial" w:hAnsi="Arial"/>
                <w:sz w:val="18"/>
                <w:szCs w:val="18"/>
                <w:color w:val="auto"/>
                <w:w w:val="98"/>
              </w:rPr>
              <w:t>(1,570)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9"/>
        </w:trPr>
        <w:tc>
          <w:tcPr>
            <w:tcW w:w="644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11,630</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718"/>
              <w:spacing w:after="0"/>
              <w:rPr>
                <w:sz w:val="20"/>
                <w:szCs w:val="20"/>
                <w:color w:val="auto"/>
              </w:rPr>
            </w:pPr>
            <w:r>
              <w:rPr>
                <w:rFonts w:ascii="Arial" w:cs="Arial" w:eastAsia="Arial" w:hAnsi="Arial"/>
                <w:sz w:val="18"/>
                <w:szCs w:val="18"/>
                <w:color w:val="auto"/>
                <w:w w:val="97"/>
              </w:rPr>
              <w:t>6,983</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2,696</w:t>
            </w: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Fulfill a Contract</w:t>
      </w:r>
    </w:p>
    <w:p>
      <w:pPr>
        <w:spacing w:after="0" w:line="186" w:lineRule="exact"/>
        <w:rPr>
          <w:sz w:val="20"/>
          <w:szCs w:val="20"/>
          <w:color w:val="auto"/>
        </w:rPr>
      </w:pPr>
    </w:p>
    <w:p>
      <w:pPr>
        <w:ind w:right="960" w:firstLine="318"/>
        <w:spacing w:after="0" w:line="251" w:lineRule="auto"/>
        <w:rPr>
          <w:sz w:val="20"/>
          <w:szCs w:val="20"/>
          <w:color w:val="auto"/>
        </w:rPr>
      </w:pPr>
      <w:r>
        <w:rPr>
          <w:rFonts w:ascii="Arial" w:cs="Arial" w:eastAsia="Arial" w:hAnsi="Arial"/>
          <w:sz w:val="18"/>
          <w:szCs w:val="18"/>
          <w:color w:val="auto"/>
        </w:rPr>
        <w:t>The following table represents a rollforward of deferred contract fulfillment costs included within Other assets, noncurrent on the 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9"/>
        </w:trPr>
        <w:tc>
          <w:tcPr>
            <w:tcW w:w="64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179"/>
        </w:trPr>
        <w:tc>
          <w:tcPr>
            <w:tcW w:w="6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2,166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Additions to deferred contract fulfillment costs</w:t>
            </w:r>
          </w:p>
        </w:tc>
        <w:tc>
          <w:tcPr>
            <w:tcW w:w="9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7"/>
              </w:rPr>
              <w:t>1,789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fulfillment costs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8"/>
              </w:rPr>
              <w:t>(1,025)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9"/>
        </w:trPr>
        <w:tc>
          <w:tcPr>
            <w:tcW w:w="644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7"/>
              </w:rPr>
              <w:t>2,930</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0"/>
        </w:trPr>
        <w:tc>
          <w:tcPr>
            <w:tcW w:w="6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present information about our financial instruments that are measured at fair value on a recurring basis: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As of December 31, 2021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79"/>
        </w:trPr>
        <w:tc>
          <w:tcPr>
            <w:tcW w:w="5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179"/>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Bank deposits included in 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355,260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355,260</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deposits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185"/>
        </w:trPr>
        <w:tc>
          <w:tcPr>
            <w:tcW w:w="5180" w:type="dxa"/>
            <w:vAlign w:val="bottom"/>
          </w:tcPr>
          <w:p>
            <w:pPr>
              <w:ind w:left="20"/>
              <w:spacing w:after="0" w:line="185" w:lineRule="exact"/>
              <w:rPr>
                <w:sz w:val="20"/>
                <w:szCs w:val="20"/>
                <w:color w:val="auto"/>
              </w:rPr>
            </w:pPr>
            <w:r>
              <w:rPr>
                <w:rFonts w:ascii="Arial" w:cs="Arial" w:eastAsia="Arial" w:hAnsi="Arial"/>
                <w:sz w:val="18"/>
                <w:szCs w:val="18"/>
                <w:color w:val="auto"/>
                <w:w w:val="98"/>
              </w:rPr>
              <w:t>Derivative financial instruments included in prepaid expenses and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51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44"/>
        </w:trPr>
        <w:tc>
          <w:tcPr>
            <w:tcW w:w="5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5"/>
        </w:trPr>
        <w:tc>
          <w:tcPr>
            <w:tcW w:w="5180" w:type="dxa"/>
            <w:vAlign w:val="bottom"/>
          </w:tcPr>
          <w:p>
            <w:pPr>
              <w:ind w:left="20"/>
              <w:spacing w:after="0" w:line="185" w:lineRule="exact"/>
              <w:rPr>
                <w:sz w:val="20"/>
                <w:szCs w:val="20"/>
                <w:color w:val="auto"/>
              </w:rPr>
            </w:pPr>
            <w:r>
              <w:rPr>
                <w:rFonts w:ascii="Arial" w:cs="Arial" w:eastAsia="Arial" w:hAnsi="Arial"/>
                <w:sz w:val="18"/>
                <w:szCs w:val="18"/>
                <w:color w:val="auto"/>
              </w:rPr>
              <w:t>Derivative financial instruments included in accrued expenses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other current liabilities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3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financial liabilities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 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9"/>
        </w:trPr>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Level 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Level 3</w:t>
            </w:r>
          </w:p>
        </w:tc>
      </w:tr>
      <w:tr>
        <w:trPr>
          <w:trHeight w:val="179"/>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Bank deposits included in cash and cash equivalents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17,052</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17,052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deposits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18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31,061</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17,052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14,009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tranche rights included in accrued</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4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and other current liabilities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185"/>
        </w:trPr>
        <w:tc>
          <w:tcPr>
            <w:tcW w:w="5180" w:type="dxa"/>
            <w:vAlign w:val="bottom"/>
          </w:tcPr>
          <w:p>
            <w:pPr>
              <w:ind w:left="20"/>
              <w:spacing w:after="0" w:line="185" w:lineRule="exact"/>
              <w:rPr>
                <w:sz w:val="20"/>
                <w:szCs w:val="20"/>
                <w:color w:val="auto"/>
              </w:rPr>
            </w:pPr>
            <w:r>
              <w:rPr>
                <w:rFonts w:ascii="Arial" w:cs="Arial" w:eastAsia="Arial" w:hAnsi="Arial"/>
                <w:sz w:val="18"/>
                <w:szCs w:val="18"/>
                <w:color w:val="auto"/>
              </w:rPr>
              <w:t>Convertible preferred share warrant liabilities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2"/>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included in other liabilities, noncurrent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w:t>
            </w:r>
          </w:p>
        </w:tc>
      </w:tr>
      <w:tr>
        <w:trPr>
          <w:trHeight w:val="239"/>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r>
      <w:tr>
        <w:trPr>
          <w:trHeight w:val="20"/>
        </w:trPr>
        <w:tc>
          <w:tcPr>
            <w:tcW w:w="51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36"/>
        </w:trPr>
        <w:tc>
          <w:tcPr>
            <w:tcW w:w="9660" w:type="dxa"/>
            <w:vAlign w:val="bottom"/>
            <w:gridSpan w:val="11"/>
          </w:tcPr>
          <w:p>
            <w:pPr>
              <w:ind w:left="320"/>
              <w:spacing w:after="0"/>
              <w:rPr>
                <w:sz w:val="20"/>
                <w:szCs w:val="20"/>
                <w:color w:val="auto"/>
              </w:rPr>
            </w:pPr>
            <w:r>
              <w:rPr>
                <w:rFonts w:ascii="Arial" w:cs="Arial" w:eastAsia="Arial" w:hAnsi="Arial"/>
                <w:sz w:val="18"/>
                <w:szCs w:val="18"/>
                <w:color w:val="auto"/>
              </w:rPr>
              <w:t>The following table presents the summary of the changes in the fair value of our Level 3 financial instruments: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2"/>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554"/>
              <w:spacing w:after="0"/>
              <w:rPr>
                <w:sz w:val="20"/>
                <w:szCs w:val="20"/>
                <w:color w:val="auto"/>
              </w:rPr>
            </w:pPr>
            <w:r>
              <w:rPr>
                <w:rFonts w:ascii="Arial" w:cs="Arial" w:eastAsia="Arial" w:hAnsi="Arial"/>
                <w:sz w:val="14"/>
                <w:szCs w:val="14"/>
                <w:b w:val="1"/>
                <w:bCs w:val="1"/>
                <w:color w:val="auto"/>
              </w:rPr>
              <w:t>Convertible Preferred Shares</w:t>
            </w:r>
          </w:p>
        </w:tc>
      </w:tr>
      <w:tr>
        <w:trPr>
          <w:trHeight w:val="179"/>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Warrant Liabilities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Tranche Rights</w:t>
            </w:r>
          </w:p>
        </w:tc>
      </w:tr>
      <w:tr>
        <w:trPr>
          <w:trHeight w:val="179"/>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6"/>
          </w:tcPr>
          <w:p>
            <w:pPr>
              <w:jc w:val="right"/>
              <w:ind w:right="1054"/>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25"/>
        </w:trPr>
        <w:tc>
          <w:tcPr>
            <w:tcW w:w="5180" w:type="dxa"/>
            <w:vAlign w:val="bottom"/>
          </w:tcPr>
          <w:p>
            <w:pPr>
              <w:ind w:left="120"/>
              <w:spacing w:after="0"/>
              <w:rPr>
                <w:sz w:val="20"/>
                <w:szCs w:val="20"/>
                <w:color w:val="auto"/>
              </w:rPr>
            </w:pPr>
            <w:r>
              <w:rPr>
                <w:rFonts w:ascii="Arial" w:cs="Arial" w:eastAsia="Arial" w:hAnsi="Arial"/>
                <w:sz w:val="18"/>
                <w:szCs w:val="18"/>
                <w:color w:val="auto"/>
              </w:rPr>
              <w:t>Settlement of convertible preferred share tranche rights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2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fair value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r>
      <w:tr>
        <w:trPr>
          <w:trHeight w:val="218"/>
        </w:trPr>
        <w:tc>
          <w:tcPr>
            <w:tcW w:w="5180" w:type="dxa"/>
            <w:vAlign w:val="bottom"/>
          </w:tcPr>
          <w:p>
            <w:pPr>
              <w:ind w:left="20"/>
              <w:spacing w:after="0" w:line="204" w:lineRule="exact"/>
              <w:rPr>
                <w:sz w:val="20"/>
                <w:szCs w:val="20"/>
                <w:color w:val="auto"/>
              </w:rPr>
            </w:pPr>
            <w:r>
              <w:rPr>
                <w:rFonts w:ascii="Arial" w:cs="Arial" w:eastAsia="Arial" w:hAnsi="Arial"/>
                <w:sz w:val="18"/>
                <w:szCs w:val="18"/>
                <w:color w:val="auto"/>
              </w:rPr>
              <w:t>Balance as of December 31, 2020</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2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fair value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w:t>
            </w:r>
          </w:p>
        </w:tc>
      </w:tr>
      <w:tr>
        <w:trPr>
          <w:trHeight w:val="185"/>
        </w:trPr>
        <w:tc>
          <w:tcPr>
            <w:tcW w:w="8160" w:type="dxa"/>
            <w:vAlign w:val="bottom"/>
            <w:gridSpan w:val="7"/>
          </w:tcPr>
          <w:p>
            <w:pPr>
              <w:ind w:left="120"/>
              <w:spacing w:after="0" w:line="185" w:lineRule="exact"/>
              <w:rPr>
                <w:sz w:val="20"/>
                <w:szCs w:val="20"/>
                <w:color w:val="auto"/>
              </w:rPr>
            </w:pPr>
            <w:r>
              <w:rPr>
                <w:rFonts w:ascii="Arial" w:cs="Arial" w:eastAsia="Arial" w:hAnsi="Arial"/>
                <w:sz w:val="18"/>
                <w:szCs w:val="18"/>
                <w:color w:val="auto"/>
              </w:rPr>
              <w:t>Settlement of convertible preferred share tranche rights and Series E-1 convertible preferred share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2"/>
        </w:trPr>
        <w:tc>
          <w:tcPr>
            <w:tcW w:w="518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(23,738)</w:t>
            </w:r>
          </w:p>
        </w:tc>
      </w:tr>
      <w:tr>
        <w:trPr>
          <w:trHeight w:val="226"/>
        </w:trPr>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Reclassification of Series B/C convertible preferred share warrant liability to equity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(35,778)</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180" w:type="dxa"/>
            <w:vAlign w:val="bottom"/>
          </w:tcPr>
          <w:p>
            <w:pPr>
              <w:ind w:left="20"/>
              <w:spacing w:after="0" w:line="204" w:lineRule="exact"/>
              <w:rPr>
                <w:sz w:val="20"/>
                <w:szCs w:val="20"/>
                <w:color w:val="auto"/>
              </w:rPr>
            </w:pPr>
            <w:r>
              <w:rPr>
                <w:rFonts w:ascii="Arial" w:cs="Arial" w:eastAsia="Arial" w:hAnsi="Arial"/>
                <w:sz w:val="18"/>
                <w:szCs w:val="18"/>
                <w:color w:val="auto"/>
              </w:rPr>
              <w:t>Balance as of December 31, 2021</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classify our bank deposits within Level 1 of the fair value hierarchy because it is valued based on quoted market prices in active markets. We classify our short-term deposits and derivative financial instruments within Level 2 of the fair value hierarchy because they are valued using inputs other than quoted prices which are directly or indirectly observable in the market, including readily-available pricing sources for the identical underlying security which may not be actively traded. Prior to conversion, we classified our convertible preferred share warrant liabilities within Level 3 of the fair value hierarchy as the fair value measurement is based on significant inputs not observed in the market, such as the fair value of the underlying Series B/C and Series E convertible preferred shares. Prior to settlement, we classified our convertible preferred share tranche rights within Level 3 as the fair value measurement is based on significant inputs not observed in the market, such as the fair value of the underlying Series E convertible preferred shares.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refer to Note 7 below for more information regarding the fair value of our indemnification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 and Hedging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Notional Amount of Foreign Currency Contracts</w:t>
      </w:r>
    </w:p>
    <w:p>
      <w:pPr>
        <w:spacing w:after="0" w:line="186"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The gross notional amounts of our foreign currency contracts are NIS denominated. The notional amounts of outstanding foreign currency contracts in U.S. dollar as of the periods presented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179"/>
        </w:trPr>
        <w:tc>
          <w:tcPr>
            <w:tcW w:w="79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179"/>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Designated as Hedging Instruments: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21,865</w:t>
            </w:r>
          </w:p>
        </w:tc>
        <w:tc>
          <w:tcPr>
            <w:tcW w:w="80" w:type="dxa"/>
            <w:vAlign w:val="bottom"/>
          </w:tcPr>
          <w:p>
            <w:pPr>
              <w:spacing w:after="0"/>
              <w:rPr>
                <w:sz w:val="19"/>
                <w:szCs w:val="19"/>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w:t>
            </w:r>
          </w:p>
        </w:tc>
      </w:tr>
      <w:tr>
        <w:trPr>
          <w:trHeight w:val="244"/>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derivative instruments</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23,151</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Currency Contracts on the Consolidated Statements of Operations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foreign currency contracts on the Consolidated Statements of Operations during the periods presented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7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79"/>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center"/>
              <w:ind w:left="298"/>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r>
      <w:tr>
        <w:trPr>
          <w:trHeight w:val="179"/>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97"/>
              </w:rPr>
              <w:t>Statement of Operations Location:</w:t>
            </w:r>
          </w:p>
        </w:tc>
        <w:tc>
          <w:tcPr>
            <w:tcW w:w="35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gain (loss) recognized in earnings</w:t>
            </w: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60" w:firstLine="318"/>
        <w:spacing w:after="0" w:line="430" w:lineRule="auto"/>
        <w:rPr>
          <w:sz w:val="20"/>
          <w:szCs w:val="20"/>
          <w:color w:val="auto"/>
        </w:rPr>
      </w:pPr>
      <w:r>
        <w:rPr>
          <w:rFonts w:ascii="Arial" w:cs="Arial" w:eastAsia="Arial" w:hAnsi="Arial"/>
          <w:sz w:val="18"/>
          <w:szCs w:val="18"/>
          <w:color w:val="auto"/>
        </w:rPr>
        <w:t xml:space="preserve">Total gain or loss recognized in earnings from derivatives designated as hedging instruments were zero for all periods presented. </w:t>
      </w:r>
      <w:r>
        <w:rPr>
          <w:rFonts w:ascii="Arial" w:cs="Arial" w:eastAsia="Arial" w:hAnsi="Arial"/>
          <w:sz w:val="18"/>
          <w:szCs w:val="18"/>
          <w:b w:val="1"/>
          <w:bCs w:val="1"/>
          <w:i w:val="1"/>
          <w:iCs w:val="1"/>
          <w:color w:val="auto"/>
        </w:rPr>
        <w:t>Effect of Foreign Currency Contracts on Accumulated Other Comprehensive Profit (Loss)</w:t>
      </w:r>
    </w:p>
    <w:p>
      <w:pPr>
        <w:ind w:right="80" w:firstLine="318"/>
        <w:spacing w:after="0" w:line="248" w:lineRule="auto"/>
        <w:rPr>
          <w:sz w:val="20"/>
          <w:szCs w:val="20"/>
          <w:color w:val="auto"/>
        </w:rPr>
      </w:pPr>
      <w:r>
        <w:rPr>
          <w:rFonts w:ascii="Arial" w:cs="Arial" w:eastAsia="Arial" w:hAnsi="Arial"/>
          <w:sz w:val="18"/>
          <w:szCs w:val="18"/>
          <w:color w:val="auto"/>
        </w:rPr>
        <w:t>The following table represents the net unrealized gains of foreign currency contracts designated as hedging instruments, net of tax, that were recorded in accumulated other comprehensive profit (loss) as of December 31, 2021, and their effect on other comprehensive profit (loss) for the year ended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193"/>
        </w:trPr>
        <w:tc>
          <w:tcPr>
            <w:tcW w:w="9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6"/>
              </w:rPr>
              <w:t>2021</w:t>
            </w:r>
          </w:p>
        </w:tc>
      </w:tr>
      <w:tr>
        <w:trPr>
          <w:trHeight w:val="205"/>
        </w:trPr>
        <w:tc>
          <w:tcPr>
            <w:tcW w:w="9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center"/>
              <w:ind w:right="198"/>
              <w:spacing w:after="0"/>
              <w:rPr>
                <w:sz w:val="20"/>
                <w:szCs w:val="20"/>
                <w:color w:val="auto"/>
              </w:rPr>
            </w:pPr>
            <w:r>
              <w:rPr>
                <w:rFonts w:ascii="Arial" w:cs="Arial" w:eastAsia="Arial" w:hAnsi="Arial"/>
                <w:sz w:val="14"/>
                <w:szCs w:val="14"/>
                <w:b w:val="1"/>
                <w:bCs w:val="1"/>
                <w:color w:val="auto"/>
              </w:rPr>
              <w:t>(in thousands)</w:t>
            </w:r>
          </w:p>
        </w:tc>
      </w:tr>
      <w:tr>
        <w:trPr>
          <w:trHeight w:val="27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9340" w:type="dxa"/>
            <w:vAlign w:val="bottom"/>
          </w:tcPr>
          <w:p>
            <w:pPr>
              <w:ind w:left="20"/>
              <w:spacing w:after="0"/>
              <w:rPr>
                <w:sz w:val="20"/>
                <w:szCs w:val="20"/>
                <w:color w:val="auto"/>
              </w:rPr>
            </w:pPr>
            <w:r>
              <w:rPr>
                <w:rFonts w:ascii="Arial" w:cs="Arial" w:eastAsia="Arial" w:hAnsi="Arial"/>
                <w:sz w:val="18"/>
                <w:szCs w:val="18"/>
                <w:color w:val="auto"/>
              </w:rPr>
              <w:t>Amount of net gains (loss) recorded in accumulated other comprehensive profit (loss)</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65"/>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of net gains (loss) reclassified from accumulated other comprehensive profit (loss) to earnings</w:t>
            </w: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3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There were no foreign currency contracts designated as hedging instruments for the years ended December 31, 2020 and 2019. As of December 31, 2021, net deferred gains totaled $0.2 million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expected to be recognized as operating expenses in the same financial statement line item in the Consolidated Statements of Operations to which the derivative relates over the next twelve months.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Consolidated Balance Sheet Components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205"/>
        </w:trPr>
        <w:tc>
          <w:tcPr>
            <w:tcW w:w="80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05"/>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3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7"/>
              </w:rPr>
              <w:t>3,016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center"/>
              <w:ind w:left="274"/>
              <w:spacing w:after="0"/>
              <w:rPr>
                <w:sz w:val="20"/>
                <w:szCs w:val="20"/>
                <w:color w:val="auto"/>
              </w:rPr>
            </w:pPr>
            <w:r>
              <w:rPr>
                <w:rFonts w:ascii="Arial" w:cs="Arial" w:eastAsia="Arial" w:hAnsi="Arial"/>
                <w:sz w:val="18"/>
                <w:szCs w:val="18"/>
                <w:color w:val="auto"/>
                <w:w w:val="97"/>
              </w:rPr>
              <w:t>1,287</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12,825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8"/>
                <w:szCs w:val="18"/>
                <w:color w:val="auto"/>
                <w:w w:val="97"/>
              </w:rPr>
              <w:t>2,950</w:t>
            </w:r>
          </w:p>
        </w:tc>
      </w:tr>
      <w:tr>
        <w:trPr>
          <w:trHeight w:val="218"/>
        </w:trPr>
        <w:tc>
          <w:tcPr>
            <w:tcW w:w="8000" w:type="dxa"/>
            <w:vAlign w:val="bottom"/>
          </w:tcPr>
          <w:p>
            <w:pPr>
              <w:ind w:left="240"/>
              <w:spacing w:after="0"/>
              <w:rPr>
                <w:sz w:val="20"/>
                <w:szCs w:val="20"/>
                <w:color w:val="auto"/>
              </w:rPr>
            </w:pPr>
            <w:r>
              <w:rPr>
                <w:rFonts w:ascii="Arial" w:cs="Arial" w:eastAsia="Arial" w:hAnsi="Arial"/>
                <w:sz w:val="18"/>
                <w:szCs w:val="18"/>
                <w:color w:val="auto"/>
              </w:rPr>
              <w:t>Property and equipment, gross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21,145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center"/>
              <w:ind w:left="274"/>
              <w:spacing w:after="0"/>
              <w:rPr>
                <w:sz w:val="20"/>
                <w:szCs w:val="20"/>
                <w:color w:val="auto"/>
              </w:rPr>
            </w:pPr>
            <w:r>
              <w:rPr>
                <w:rFonts w:ascii="Arial" w:cs="Arial" w:eastAsia="Arial" w:hAnsi="Arial"/>
                <w:sz w:val="18"/>
                <w:szCs w:val="18"/>
                <w:color w:val="auto"/>
                <w:w w:val="97"/>
              </w:rPr>
              <w:t>7,253</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8"/>
                <w:szCs w:val="18"/>
                <w:color w:val="auto"/>
                <w:w w:val="98"/>
              </w:rPr>
              <w:t>(2,613)</w:t>
            </w:r>
          </w:p>
        </w:tc>
      </w:tr>
      <w:tr>
        <w:trPr>
          <w:trHeight w:val="219"/>
        </w:trPr>
        <w:tc>
          <w:tcPr>
            <w:tcW w:w="80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94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16,968</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7"/>
              </w:rPr>
              <w:t>4,640</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Depreciation and amortization expenses were $1.8 million, $1.3 million, and $0.7 million for the years ended December 31, 2021, 2020, and 2019,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7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credits</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tranche rights, current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2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3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940" w:type="dxa"/>
            <w:vAlign w:val="bottom"/>
          </w:tcPr>
          <w:p>
            <w:pPr>
              <w:ind w:left="320"/>
              <w:spacing w:after="0"/>
              <w:rPr>
                <w:sz w:val="20"/>
                <w:szCs w:val="20"/>
                <w:color w:val="auto"/>
              </w:rPr>
            </w:pPr>
            <w:r>
              <w:rPr>
                <w:rFonts w:ascii="Arial" w:cs="Arial" w:eastAsia="Arial" w:hAnsi="Arial"/>
                <w:sz w:val="18"/>
                <w:szCs w:val="18"/>
                <w:color w:val="auto"/>
              </w:rPr>
              <w:t>Other liabilities, noncurrent consisted of the following:</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9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4"/>
        </w:trPr>
        <w:tc>
          <w:tcPr>
            <w:tcW w:w="7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warrant liabilities</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9"/>
        </w:trPr>
        <w:tc>
          <w:tcPr>
            <w:tcW w:w="7940" w:type="dxa"/>
            <w:vAlign w:val="bottom"/>
          </w:tcPr>
          <w:p>
            <w:pPr>
              <w:ind w:left="240"/>
              <w:spacing w:after="0"/>
              <w:rPr>
                <w:sz w:val="20"/>
                <w:szCs w:val="20"/>
                <w:color w:val="auto"/>
              </w:rPr>
            </w:pPr>
            <w:r>
              <w:rPr>
                <w:rFonts w:ascii="Arial" w:cs="Arial" w:eastAsia="Arial" w:hAnsi="Arial"/>
                <w:sz w:val="18"/>
                <w:szCs w:val="18"/>
                <w:color w:val="auto"/>
              </w:rPr>
              <w:t>Other liabilities, noncurrent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9,359</w:t>
            </w:r>
          </w:p>
        </w:tc>
        <w:tc>
          <w:tcPr>
            <w:tcW w:w="40" w:type="dxa"/>
            <w:vAlign w:val="bottom"/>
          </w:tcPr>
          <w:p>
            <w:pPr>
              <w:spacing w:after="0"/>
              <w:rPr>
                <w:sz w:val="19"/>
                <w:szCs w:val="19"/>
                <w:color w:val="auto"/>
              </w:rPr>
            </w:pPr>
          </w:p>
        </w:tc>
        <w:tc>
          <w:tcPr>
            <w:tcW w:w="7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12,385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Guarantees,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Guarantees</w:t>
      </w:r>
    </w:p>
    <w:p>
      <w:pPr>
        <w:spacing w:after="0" w:line="186"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We provide contractual assurances around the accuracy of our approvals so that our merchants can confidently automate a transaction’s execution. Our contracts obligate us to stand ready to indemnify our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merchants for any costs incurred from a chargeback due to fraud. Accordingly, we account for the guarantee obligation as an indemnification under the general provisions of ASC 460 and recognize a liability at fair value upon approving a transaction at an amount that represents what we would need to pay a third party to relieve ourselves from this obligation. This liability is presented as Guarantee obligations on the consolidated balance sheets and was $12.1 million and $12.4 million as of December 31, 2021 and 2020, respectively, and will be released to revenue in the consolidated statements of operations.</w:t>
      </w:r>
    </w:p>
    <w:p>
      <w:pPr>
        <w:spacing w:after="0" w:line="154"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w:t>
      </w:r>
    </w:p>
    <w:p>
      <w:pPr>
        <w:spacing w:after="0" w:line="13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 xml:space="preserve">Our provision for chargebacks includes amounts associated with chargebacks that have been submitted and accepted but not yet paid by us as of the balance sheet date as well as estimates of chargebacks that have not yet been submitted and accepted relating to approved transactions that are accounted for under </w:t>
      </w:r>
      <w:r>
        <w:rPr>
          <w:rFonts w:ascii="Arial" w:cs="Arial" w:eastAsia="Arial" w:hAnsi="Arial"/>
          <w:sz w:val="18"/>
          <w:szCs w:val="18"/>
          <w:i w:val="1"/>
          <w:iCs w:val="1"/>
          <w:color w:val="auto"/>
        </w:rPr>
        <w:t>ASC 450, Contingencies</w:t>
      </w:r>
      <w:r>
        <w:rPr>
          <w:rFonts w:ascii="Arial" w:cs="Arial" w:eastAsia="Arial" w:hAnsi="Arial"/>
          <w:sz w:val="18"/>
          <w:szCs w:val="18"/>
          <w:color w:val="auto"/>
        </w:rPr>
        <w:t>. While no individual transaction is probable of a chargeback occurring, when we analyze a portfolio of transactions, if we believe a future chargeback is probable and reasonably estimated, we accrue a liability and an associated expense through cost of revenue. Inputs and assumptions used by management to calculate the provision are based on the transactions approved and the features of those transactions as well as historical information about chargebacks. It is possible that the estimate may change in the near term, and the effect of the change could be material. Provision for chargebacks, net on the consolidated balance sheets were $12.0 million and $10.6 million as of December 31, 2021 and 2020, respectively, and will be reduced by credits issued or cash paid to merchants.</w:t>
      </w:r>
    </w:p>
    <w:p>
      <w:pPr>
        <w:spacing w:after="0" w:line="158"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As of December 31, 2021, our portfolio of potential chargeback liabilities was diversified across numerous industries, hundreds of merchants, and millions of individual transactions. The maximum potential payment to our merchants for these guarantees at a point in time, if every order we approved was fraudulent, is generally the aggregate approved transaction amount excluding cancelled orders, orders that have expired guarantees, and orders for which guarantees have already been paid. As of December 31, 2021, there was $48.4 billion in outstanding indemnification guarantees.</w:t>
      </w:r>
    </w:p>
    <w:p>
      <w:pPr>
        <w:spacing w:after="0" w:line="154"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Historically, we have had to pay approximately 0.1% of guarantees that we have issued and net chargeback expenses for the years ended December 31, 2021, 2020, and 2019, were $85.5 million, $63.1 million, and $54.4 million, respectively, which was in line with our budgets for the associated periods.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lease our office facilities under non-cancelable agreements that expire at various dates through 2031. Lease expenses during the years ended December 31, 2021, 2020, and 2019 were $5.9 million, $4.2 million, and $3.4 million, respectively. Sublease income during the years ended December 31, 2021, 2020, and 2019 were $0.1 million, $0.9 million, and $0.8 million, respectively. The minimum rental payments under operating leases as of December 31, 2021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r>
      <w:tr>
        <w:trPr>
          <w:trHeight w:val="179"/>
        </w:trPr>
        <w:tc>
          <w:tcPr>
            <w:tcW w:w="9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6,975</w:t>
            </w:r>
          </w:p>
        </w:tc>
      </w:tr>
      <w:tr>
        <w:trPr>
          <w:trHeight w:val="226"/>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6,648</w:t>
            </w:r>
          </w:p>
        </w:tc>
      </w:tr>
      <w:tr>
        <w:trPr>
          <w:trHeight w:val="226"/>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6,448</w:t>
            </w:r>
          </w:p>
        </w:tc>
      </w:tr>
      <w:tr>
        <w:trPr>
          <w:trHeight w:val="225"/>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22,631</w:t>
            </w:r>
          </w:p>
        </w:tc>
      </w:tr>
      <w:tr>
        <w:trPr>
          <w:trHeight w:val="219"/>
        </w:trPr>
        <w:tc>
          <w:tcPr>
            <w:tcW w:w="9680" w:type="dxa"/>
            <w:vAlign w:val="bottom"/>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55,958</w:t>
            </w: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Excluded from the table above is an unsecured and undated promissory note issued in December 2020 in connection with the execution of a lease agreement for an amount of $3.3 million and $3.2 million as of December 31, 2021 and 2020, respectively. The promissory note may only be withdrawn in the event of a material and fundamental breach of the lease agreement. The promissory note expires three months after the lease termination date. As of December 31, 2021 and 2020, we were in full compliance of the terms and conditions of the promissory note, and the promissory note has not been withdrawn.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86"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In the normal course of business, we enter into non-cancelable purchase commitments with various parties primarily for hosting and software services. As of December 31, 2021, we had outstanding non-cancelable purchase obligations with a term of 12 months or longer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Amount</w:t>
            </w:r>
          </w:p>
        </w:tc>
      </w:tr>
      <w:tr>
        <w:trPr>
          <w:trHeight w:val="179"/>
        </w:trPr>
        <w:tc>
          <w:tcPr>
            <w:tcW w:w="9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17"/>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9680" w:type="dxa"/>
            <w:vAlign w:val="bottom"/>
            <w:shd w:val="clear" w:color="auto" w:fill="CCEEFF"/>
          </w:tcPr>
          <w:p>
            <w:pPr>
              <w:jc w:val="right"/>
              <w:ind w:right="7452"/>
              <w:spacing w:after="0"/>
              <w:rPr>
                <w:sz w:val="20"/>
                <w:szCs w:val="20"/>
                <w:color w:val="auto"/>
              </w:rPr>
            </w:pPr>
            <w:r>
              <w:rPr>
                <w:rFonts w:ascii="Arial" w:cs="Arial" w:eastAsia="Arial" w:hAnsi="Arial"/>
                <w:sz w:val="18"/>
                <w:szCs w:val="18"/>
                <w:color w:val="auto"/>
                <w:w w:val="97"/>
              </w:rPr>
              <w:t>Year Ending December 31,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5"/>
        </w:trPr>
        <w:tc>
          <w:tcPr>
            <w:tcW w:w="9680" w:type="dxa"/>
            <w:vAlign w:val="bottom"/>
          </w:tcPr>
          <w:p>
            <w:pPr>
              <w:jc w:val="right"/>
              <w:ind w:right="8972"/>
              <w:spacing w:after="0"/>
              <w:rPr>
                <w:sz w:val="20"/>
                <w:szCs w:val="20"/>
                <w:color w:val="auto"/>
              </w:rPr>
            </w:pPr>
            <w:r>
              <w:rPr>
                <w:rFonts w:ascii="Arial" w:cs="Arial" w:eastAsia="Arial" w:hAnsi="Arial"/>
                <w:sz w:val="18"/>
                <w:szCs w:val="18"/>
                <w:color w:val="auto"/>
              </w:rPr>
              <w:t>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26"/>
        </w:trPr>
        <w:tc>
          <w:tcPr>
            <w:tcW w:w="9680" w:type="dxa"/>
            <w:vAlign w:val="bottom"/>
            <w:shd w:val="clear" w:color="auto" w:fill="CCEEFF"/>
          </w:tcPr>
          <w:p>
            <w:pPr>
              <w:jc w:val="right"/>
              <w:ind w:right="8972"/>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5"/>
        </w:trPr>
        <w:tc>
          <w:tcPr>
            <w:tcW w:w="9680" w:type="dxa"/>
            <w:vAlign w:val="bottom"/>
          </w:tcPr>
          <w:p>
            <w:pPr>
              <w:jc w:val="right"/>
              <w:ind w:right="8972"/>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5"/>
        </w:trPr>
        <w:tc>
          <w:tcPr>
            <w:tcW w:w="9680" w:type="dxa"/>
            <w:vAlign w:val="bottom"/>
            <w:shd w:val="clear" w:color="auto" w:fill="CCEEFF"/>
          </w:tcPr>
          <w:p>
            <w:pPr>
              <w:jc w:val="right"/>
              <w:ind w:right="8972"/>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9"/>
        </w:trPr>
        <w:tc>
          <w:tcPr>
            <w:tcW w:w="9680" w:type="dxa"/>
            <w:vAlign w:val="bottom"/>
          </w:tcPr>
          <w:p>
            <w:pPr>
              <w:jc w:val="right"/>
              <w:ind w:right="8772"/>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Indemnifications and Contingencies</w:t>
      </w:r>
    </w:p>
    <w:p>
      <w:pPr>
        <w:spacing w:after="0" w:line="18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the ordinary course of business, we agree to indemnify certain parties. In our merchant agreements, we have agreed to indemnify, defend, and hold harmless the indemnified party for third-party claims and related losses suffered or incurred by the indemnified party from actual or threatened third-party intellectual property infringement claims. For certain large or strategic merchants, we have agreed to indemnify, defend and hold harmless the indemnified party for non-compliance with certain additional representations and warranties made by us. In addition, we have entered into indemnification agreements with our officers and directors. As we have a limited history of prior indemnification claims and the payments we have made under such agreements have not had a material adverse effect on our results of operations, cash flows, or financial position, we are unable to reasonably estimate the maximum potential amount of future payments related to these indemnification agreements. However, to the extent that valid indemnification claims arise in the future, future payments by us could be significant and could have a material adverse effect on our results of operations or cash flows in a particular period. As of December 31, 2021 and 2020, we did not have any material indemnification claims that were probable or reasonably possible.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Occasionally we may be subject to various proceedings, lawsuits, disputes, or claims. We investigate these claims as they arise and accrue liabilities when losses are probable and reasonable estimated. Although claims are inherently unpredictable, we are currently not aware of any matters that, if determined adversely to us, would individually or taken together, have a material adverse effect on our business,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Shares</w:t>
      </w:r>
    </w:p>
    <w:p>
      <w:pPr>
        <w:spacing w:after="0" w:line="186"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The Series E convertible preferred shares financing was structured to close in four separate tranches. In October 2019, we closed the first tranche and issued 2,480,485 shares of Series E convertible preferred shares for $19.02 per share and warrants to purchase an aggregate total of 1,433,142 Series E-1 convertible preferred shares at an exercise price of $25.20 per share for total gross proceeds of $47.2 million, of which $1.8 million was allocated to the Series E-1 convertible preferred share warrants and $1.3 million was allocated to the tranche rights. Total issuance costs were $1.7 million.</w:t>
      </w:r>
    </w:p>
    <w:p>
      <w:pPr>
        <w:spacing w:after="0" w:line="154"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In April and October 2020, we closed the second and third tranches and issued a total of 2,900,826 shares of Series E convertible preferred shares for $19.02 per share for total gross proceeds of $55.2 million. Total issuance costs were $1.5 million.</w:t>
      </w:r>
    </w:p>
    <w:p>
      <w:pPr>
        <w:spacing w:after="0" w:line="150"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During the second quarter of 2021, we closed the fourth tranche and issued a total of 1,450,414 shares of Series E convertible preferred shares for $19.02 per share for total gross proceeds of $27.6 million. Total issuance costs were $0.8 million.</w:t>
      </w:r>
    </w:p>
    <w:p>
      <w:pPr>
        <w:spacing w:after="0" w:line="150"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Upon completion of the IPO during the third quarter of 2021, all outstanding convertible preferred shares, totaling 32,291,470 shares, were automatically converted into an equivalent number of ordinary shares on a one-to-one basis and their carrying value of $291.3 million was reclassified into shareholders’ equity. As of December 31, 2021, there were no shares of convertible preferred shares issued and outstanding. Convertible preferred shares consisted of the following as of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center"/>
              <w:ind w:left="479"/>
              <w:spacing w:after="0"/>
              <w:rPr>
                <w:sz w:val="20"/>
                <w:szCs w:val="20"/>
                <w:color w:val="auto"/>
              </w:rPr>
            </w:pPr>
            <w:r>
              <w:rPr>
                <w:rFonts w:ascii="Arial" w:cs="Arial" w:eastAsia="Arial" w:hAnsi="Arial"/>
                <w:sz w:val="14"/>
                <w:szCs w:val="14"/>
                <w:b w:val="1"/>
                <w:bCs w:val="1"/>
                <w:color w:val="auto"/>
              </w:rPr>
              <w:t>As of December 31, 2020</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60" w:type="dxa"/>
            <w:vAlign w:val="bottom"/>
          </w:tcPr>
          <w:p>
            <w:pPr>
              <w:spacing w:after="0"/>
              <w:rPr>
                <w:sz w:val="12"/>
                <w:szCs w:val="12"/>
                <w:color w:val="auto"/>
              </w:rPr>
            </w:pPr>
          </w:p>
        </w:tc>
        <w:tc>
          <w:tcPr>
            <w:tcW w:w="15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2"/>
          </w:tcPr>
          <w:p>
            <w:pPr>
              <w:jc w:val="right"/>
              <w:ind w:right="420"/>
              <w:spacing w:after="0" w:line="139" w:lineRule="exact"/>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2"/>
                <w:szCs w:val="12"/>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52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Issued and</w:t>
            </w:r>
          </w:p>
        </w:tc>
        <w:tc>
          <w:tcPr>
            <w:tcW w:w="5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5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Authorized</w:t>
            </w:r>
          </w:p>
        </w:tc>
        <w:tc>
          <w:tcPr>
            <w:tcW w:w="15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Outstanding</w:t>
            </w:r>
          </w:p>
        </w:tc>
        <w:tc>
          <w:tcPr>
            <w:tcW w:w="5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Liquidation Preference</w:t>
            </w:r>
          </w:p>
        </w:tc>
        <w:tc>
          <w:tcPr>
            <w:tcW w:w="0" w:type="dxa"/>
            <w:vAlign w:val="bottom"/>
          </w:tcPr>
          <w:p>
            <w:pPr>
              <w:spacing w:after="0"/>
              <w:rPr>
                <w:sz w:val="1"/>
                <w:szCs w:val="1"/>
                <w:color w:val="auto"/>
              </w:rPr>
            </w:pPr>
          </w:p>
        </w:tc>
      </w:tr>
      <w:tr>
        <w:trPr>
          <w:trHeight w:val="179"/>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5"/>
          </w:tcPr>
          <w:p>
            <w:pPr>
              <w:jc w:val="center"/>
              <w:ind w:left="479"/>
              <w:spacing w:after="0"/>
              <w:rPr>
                <w:sz w:val="20"/>
                <w:szCs w:val="20"/>
                <w:color w:val="auto"/>
              </w:rPr>
            </w:pPr>
            <w:r>
              <w:rPr>
                <w:rFonts w:ascii="Arial" w:cs="Arial" w:eastAsia="Arial" w:hAnsi="Arial"/>
                <w:sz w:val="14"/>
                <w:szCs w:val="14"/>
                <w:b w:val="1"/>
                <w:bCs w:val="1"/>
                <w:color w:val="auto"/>
              </w:rPr>
              <w:t>(in thousands, except share data)</w:t>
            </w: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6,228,199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6,228,199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5"/>
        </w:trPr>
        <w:tc>
          <w:tcPr>
            <w:tcW w:w="4660" w:type="dxa"/>
            <w:vAlign w:val="bottom"/>
          </w:tcPr>
          <w:p>
            <w:pPr>
              <w:ind w:left="340"/>
              <w:spacing w:after="0"/>
              <w:rPr>
                <w:sz w:val="20"/>
                <w:szCs w:val="20"/>
                <w:color w:val="auto"/>
              </w:rPr>
            </w:pPr>
            <w:r>
              <w:rPr>
                <w:rFonts w:ascii="Arial" w:cs="Arial" w:eastAsia="Arial" w:hAnsi="Arial"/>
                <w:sz w:val="18"/>
                <w:szCs w:val="18"/>
                <w:color w:val="auto"/>
              </w:rPr>
              <w:t>Series B</w:t>
            </w:r>
          </w:p>
        </w:tc>
        <w:tc>
          <w:tcPr>
            <w:tcW w:w="1420" w:type="dxa"/>
            <w:vAlign w:val="bottom"/>
          </w:tcPr>
          <w:p>
            <w:pPr>
              <w:jc w:val="right"/>
              <w:spacing w:after="0"/>
              <w:rPr>
                <w:sz w:val="20"/>
                <w:szCs w:val="20"/>
                <w:color w:val="auto"/>
              </w:rPr>
            </w:pPr>
            <w:r>
              <w:rPr>
                <w:rFonts w:ascii="Arial" w:cs="Arial" w:eastAsia="Arial" w:hAnsi="Arial"/>
                <w:sz w:val="18"/>
                <w:szCs w:val="18"/>
                <w:color w:val="auto"/>
              </w:rPr>
              <w:t>5,093,025</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4,667,700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C</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7,465,072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7,356,972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0" w:type="dxa"/>
            <w:vAlign w:val="bottom"/>
          </w:tcPr>
          <w:p>
            <w:pPr>
              <w:spacing w:after="0"/>
              <w:rPr>
                <w:sz w:val="1"/>
                <w:szCs w:val="1"/>
                <w:color w:val="auto"/>
              </w:rPr>
            </w:pPr>
          </w:p>
        </w:tc>
      </w:tr>
      <w:tr>
        <w:trPr>
          <w:trHeight w:val="225"/>
        </w:trPr>
        <w:tc>
          <w:tcPr>
            <w:tcW w:w="4660" w:type="dxa"/>
            <w:vAlign w:val="bottom"/>
          </w:tcPr>
          <w:p>
            <w:pPr>
              <w:ind w:left="340"/>
              <w:spacing w:after="0"/>
              <w:rPr>
                <w:sz w:val="20"/>
                <w:szCs w:val="20"/>
                <w:color w:val="auto"/>
              </w:rPr>
            </w:pPr>
            <w:r>
              <w:rPr>
                <w:rFonts w:ascii="Arial" w:cs="Arial" w:eastAsia="Arial" w:hAnsi="Arial"/>
                <w:sz w:val="18"/>
                <w:szCs w:val="18"/>
                <w:color w:val="auto"/>
              </w:rPr>
              <w:t>Series D</w:t>
            </w:r>
          </w:p>
        </w:tc>
        <w:tc>
          <w:tcPr>
            <w:tcW w:w="1420" w:type="dxa"/>
            <w:vAlign w:val="bottom"/>
          </w:tcPr>
          <w:p>
            <w:pPr>
              <w:jc w:val="right"/>
              <w:spacing w:after="0"/>
              <w:rPr>
                <w:sz w:val="20"/>
                <w:szCs w:val="20"/>
                <w:color w:val="auto"/>
              </w:rPr>
            </w:pPr>
            <w:r>
              <w:rPr>
                <w:rFonts w:ascii="Arial" w:cs="Arial" w:eastAsia="Arial" w:hAnsi="Arial"/>
                <w:sz w:val="18"/>
                <w:szCs w:val="18"/>
                <w:color w:val="auto"/>
              </w:rPr>
              <w:t>6,243,934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6,243,934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32,998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33,093</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6,831,725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5,381,311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102,353</w:t>
            </w:r>
          </w:p>
        </w:tc>
        <w:tc>
          <w:tcPr>
            <w:tcW w:w="0" w:type="dxa"/>
            <w:vAlign w:val="bottom"/>
          </w:tcPr>
          <w:p>
            <w:pPr>
              <w:spacing w:after="0"/>
              <w:rPr>
                <w:sz w:val="1"/>
                <w:szCs w:val="1"/>
                <w:color w:val="auto"/>
              </w:rPr>
            </w:pPr>
          </w:p>
        </w:tc>
      </w:tr>
      <w:tr>
        <w:trPr>
          <w:trHeight w:val="225"/>
        </w:trPr>
        <w:tc>
          <w:tcPr>
            <w:tcW w:w="4660" w:type="dxa"/>
            <w:vAlign w:val="bottom"/>
          </w:tcPr>
          <w:p>
            <w:pPr>
              <w:ind w:left="340"/>
              <w:spacing w:after="0"/>
              <w:rPr>
                <w:sz w:val="20"/>
                <w:szCs w:val="20"/>
                <w:color w:val="auto"/>
              </w:rPr>
            </w:pPr>
            <w:r>
              <w:rPr>
                <w:rFonts w:ascii="Arial" w:cs="Arial" w:eastAsia="Arial" w:hAnsi="Arial"/>
                <w:sz w:val="18"/>
                <w:szCs w:val="18"/>
                <w:color w:val="auto"/>
              </w:rPr>
              <w:t>Series E-1</w:t>
            </w:r>
          </w:p>
        </w:tc>
        <w:tc>
          <w:tcPr>
            <w:tcW w:w="1420" w:type="dxa"/>
            <w:vAlign w:val="bottom"/>
          </w:tcPr>
          <w:p>
            <w:pPr>
              <w:jc w:val="right"/>
              <w:spacing w:after="0"/>
              <w:rPr>
                <w:sz w:val="20"/>
                <w:szCs w:val="20"/>
                <w:color w:val="auto"/>
              </w:rPr>
            </w:pPr>
            <w:r>
              <w:rPr>
                <w:rFonts w:ascii="Arial" w:cs="Arial" w:eastAsia="Arial" w:hAnsi="Arial"/>
                <w:sz w:val="18"/>
                <w:szCs w:val="18"/>
                <w:color w:val="auto"/>
              </w:rPr>
              <w:t>1,433,142</w:t>
            </w:r>
          </w:p>
        </w:tc>
        <w:tc>
          <w:tcPr>
            <w:tcW w:w="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6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convertible preferred shares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33,295,097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29,878,116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165,558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Used in Determining the Fair Value of Future Tranche Rights</w:t>
      </w:r>
    </w:p>
    <w:p>
      <w:pPr>
        <w:spacing w:after="0" w:line="186"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Prior to IPO, we remeasured our outstanding convertible preferred share tranche rights to fair value using a combination of the PWERM and discounted present value model. We selected these models as we believe they are reflective of all significant assumptions that market participants would likely consider in negotiating the transfer of the future tranche rights. Such assumptions include, among other inputs, fair value of underlying preferred shares, time to payments, and risk-free rates. As of December 31, 2021, there were no outstanding convertible preferred share tranche rights. As of December 31, 2020 the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inputs used in the valuation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72"/>
        </w:trPr>
        <w:tc>
          <w:tcPr>
            <w:tcW w:w="934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2020</w:t>
            </w:r>
          </w:p>
        </w:tc>
      </w:tr>
      <w:tr>
        <w:trPr>
          <w:trHeight w:val="218"/>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E convertible preferred shares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$20.74</w:t>
            </w:r>
          </w:p>
        </w:tc>
      </w:tr>
      <w:tr>
        <w:trPr>
          <w:trHeight w:val="225"/>
        </w:trPr>
        <w:tc>
          <w:tcPr>
            <w:tcW w:w="9340" w:type="dxa"/>
            <w:vAlign w:val="bottom"/>
          </w:tcPr>
          <w:p>
            <w:pPr>
              <w:ind w:left="20"/>
              <w:spacing w:after="0"/>
              <w:rPr>
                <w:sz w:val="20"/>
                <w:szCs w:val="20"/>
                <w:color w:val="auto"/>
              </w:rPr>
            </w:pPr>
            <w:r>
              <w:rPr>
                <w:rFonts w:ascii="Arial" w:cs="Arial" w:eastAsia="Arial" w:hAnsi="Arial"/>
                <w:sz w:val="18"/>
                <w:szCs w:val="18"/>
                <w:color w:val="auto"/>
              </w:rPr>
              <w:t>Time to payments (years)</w:t>
            </w:r>
          </w:p>
        </w:tc>
        <w:tc>
          <w:tcPr>
            <w:tcW w:w="1900" w:type="dxa"/>
            <w:vAlign w:val="bottom"/>
          </w:tcPr>
          <w:p>
            <w:pPr>
              <w:jc w:val="center"/>
              <w:spacing w:after="0"/>
              <w:rPr>
                <w:sz w:val="20"/>
                <w:szCs w:val="20"/>
                <w:color w:val="auto"/>
              </w:rPr>
            </w:pPr>
            <w:r>
              <w:rPr>
                <w:rFonts w:ascii="Arial" w:cs="Arial" w:eastAsia="Arial" w:hAnsi="Arial"/>
                <w:sz w:val="18"/>
                <w:szCs w:val="18"/>
                <w:color w:val="auto"/>
                <w:w w:val="96"/>
              </w:rPr>
              <w:t>0.33</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Share Warrants</w:t>
      </w:r>
    </w:p>
    <w:p>
      <w:pPr>
        <w:spacing w:after="0" w:line="186"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In conjunction with the issuance of the Series E convertible preferred shares in October 2019, the holders of Series E convertible preferred shares received warrants to purchase an aggregate of 1,433,142 Series E-1 convertible preferred shares at an exercise price of $25.20 per share.</w:t>
      </w:r>
    </w:p>
    <w:p>
      <w:pPr>
        <w:spacing w:after="0" w:line="153"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Immediately prior to the closing of the IPO, 962,940 shares of Series E-1 convertible preferred shares were issued upon the exercise of the Series E-1 convertible preferred share warrants. Upon completion of the IPO, the Series E-1 convertible preferred shares were converted in full into 962,940 Class A ordinary shares and 1,925,880 Class B ordinary shares, of which 257,521 Class A ordinary shares and 515,042 Class B ordinary shares were exercised against the payment of $6.5 million in cash and the remainder were exercised on a cashless basis, after giving effect to the Recapitalization.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following warrants were issued and outstanding, after giving effect to the Recapitalization: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r>
      <w:tr>
        <w:trPr>
          <w:trHeight w:val="179"/>
        </w:trPr>
        <w:tc>
          <w:tcPr>
            <w:tcW w:w="270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Issued and Outstanding Share Warrants</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Weighted-Average Exercise Price</w:t>
            </w:r>
          </w:p>
        </w:tc>
        <w:tc>
          <w:tcPr>
            <w:tcW w:w="166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Expiration Date</w:t>
            </w:r>
          </w:p>
        </w:tc>
      </w:tr>
      <w:tr>
        <w:trPr>
          <w:trHeight w:val="139"/>
        </w:trPr>
        <w:tc>
          <w:tcPr>
            <w:tcW w:w="2700" w:type="dxa"/>
            <w:vAlign w:val="bottom"/>
          </w:tcPr>
          <w:p>
            <w:pPr>
              <w:spacing w:after="0"/>
              <w:rPr>
                <w:sz w:val="12"/>
                <w:szCs w:val="12"/>
                <w:color w:val="auto"/>
              </w:rPr>
            </w:pPr>
          </w:p>
        </w:tc>
        <w:tc>
          <w:tcPr>
            <w:tcW w:w="17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Class A Ordinary</w:t>
            </w:r>
          </w:p>
        </w:tc>
        <w:tc>
          <w:tcPr>
            <w:tcW w:w="1640" w:type="dxa"/>
            <w:vAlign w:val="bottom"/>
          </w:tcPr>
          <w:p>
            <w:pPr>
              <w:jc w:val="right"/>
              <w:ind w:right="161"/>
              <w:spacing w:after="0" w:line="139" w:lineRule="exact"/>
              <w:rPr>
                <w:sz w:val="20"/>
                <w:szCs w:val="20"/>
                <w:color w:val="auto"/>
              </w:rPr>
            </w:pPr>
            <w:r>
              <w:rPr>
                <w:rFonts w:ascii="Arial" w:cs="Arial" w:eastAsia="Arial" w:hAnsi="Arial"/>
                <w:sz w:val="14"/>
                <w:szCs w:val="14"/>
                <w:b w:val="1"/>
                <w:bCs w:val="1"/>
                <w:color w:val="auto"/>
              </w:rPr>
              <w:t>Class B Ordinary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Class A Ordinary</w:t>
            </w:r>
          </w:p>
        </w:tc>
        <w:tc>
          <w:tcPr>
            <w:tcW w:w="200" w:type="dxa"/>
            <w:vAlign w:val="bottom"/>
          </w:tcPr>
          <w:p>
            <w:pPr>
              <w:spacing w:after="0"/>
              <w:rPr>
                <w:sz w:val="12"/>
                <w:szCs w:val="12"/>
                <w:color w:val="auto"/>
              </w:rPr>
            </w:pPr>
          </w:p>
        </w:tc>
        <w:tc>
          <w:tcPr>
            <w:tcW w:w="146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rPr>
              <w:t>Class B Ordinary</w:t>
            </w:r>
          </w:p>
        </w:tc>
        <w:tc>
          <w:tcPr>
            <w:tcW w:w="1660" w:type="dxa"/>
            <w:vAlign w:val="bottom"/>
          </w:tcPr>
          <w:p>
            <w:pPr>
              <w:spacing w:after="0"/>
              <w:rPr>
                <w:sz w:val="12"/>
                <w:szCs w:val="12"/>
                <w:color w:val="auto"/>
              </w:rPr>
            </w:pPr>
          </w:p>
        </w:tc>
      </w:tr>
      <w:tr>
        <w:trPr>
          <w:trHeight w:val="172"/>
        </w:trPr>
        <w:tc>
          <w:tcPr>
            <w:tcW w:w="270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Shares</w:t>
            </w:r>
          </w:p>
        </w:tc>
        <w:tc>
          <w:tcPr>
            <w:tcW w:w="1640" w:type="dxa"/>
            <w:vAlign w:val="bottom"/>
          </w:tcPr>
          <w:p>
            <w:pPr>
              <w:jc w:val="right"/>
              <w:ind w:right="50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4"/>
                <w:szCs w:val="14"/>
                <w:color w:val="auto"/>
              </w:rPr>
            </w:pPr>
          </w:p>
        </w:tc>
        <w:tc>
          <w:tcPr>
            <w:tcW w:w="1460" w:type="dxa"/>
            <w:vAlign w:val="bottom"/>
          </w:tcPr>
          <w:p>
            <w:pPr>
              <w:jc w:val="center"/>
              <w:ind w:right="103"/>
              <w:spacing w:after="0"/>
              <w:rPr>
                <w:sz w:val="20"/>
                <w:szCs w:val="20"/>
                <w:color w:val="auto"/>
              </w:rPr>
            </w:pPr>
            <w:r>
              <w:rPr>
                <w:rFonts w:ascii="Arial" w:cs="Arial" w:eastAsia="Arial" w:hAnsi="Arial"/>
                <w:sz w:val="14"/>
                <w:szCs w:val="14"/>
                <w:b w:val="1"/>
                <w:bCs w:val="1"/>
                <w:color w:val="auto"/>
              </w:rPr>
              <w:t>Shares</w:t>
            </w:r>
          </w:p>
        </w:tc>
        <w:tc>
          <w:tcPr>
            <w:tcW w:w="1660" w:type="dxa"/>
            <w:vAlign w:val="bottom"/>
          </w:tcPr>
          <w:p>
            <w:pPr>
              <w:spacing w:after="0"/>
              <w:rPr>
                <w:sz w:val="14"/>
                <w:szCs w:val="14"/>
                <w:color w:val="auto"/>
              </w:rPr>
            </w:pPr>
          </w:p>
        </w:tc>
      </w:tr>
      <w:tr>
        <w:trPr>
          <w:trHeight w:val="165"/>
        </w:trPr>
        <w:tc>
          <w:tcPr>
            <w:tcW w:w="27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Warrants to purchase ordinary</w:t>
            </w:r>
          </w:p>
        </w:tc>
        <w:tc>
          <w:tcPr>
            <w:tcW w:w="1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425,325</w:t>
            </w:r>
          </w:p>
        </w:tc>
        <w:tc>
          <w:tcPr>
            <w:tcW w:w="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660" w:type="dxa"/>
            <w:vAlign w:val="bottom"/>
            <w:shd w:val="clear" w:color="auto" w:fill="CCEEFF"/>
          </w:tcPr>
          <w:p>
            <w:pPr>
              <w:jc w:val="center"/>
              <w:ind w:left="21"/>
              <w:spacing w:after="0"/>
              <w:rPr>
                <w:sz w:val="20"/>
                <w:szCs w:val="20"/>
                <w:color w:val="auto"/>
              </w:rPr>
            </w:pPr>
            <w:r>
              <w:rPr>
                <w:rFonts w:ascii="Arial" w:cs="Arial" w:eastAsia="Arial" w:hAnsi="Arial"/>
                <w:sz w:val="18"/>
                <w:szCs w:val="18"/>
                <w:color w:val="auto"/>
                <w:w w:val="98"/>
              </w:rPr>
              <w:t>April 2025</w:t>
            </w:r>
          </w:p>
        </w:tc>
      </w:tr>
      <w:tr>
        <w:trPr>
          <w:trHeight w:val="219"/>
        </w:trPr>
        <w:tc>
          <w:tcPr>
            <w:tcW w:w="2700" w:type="dxa"/>
            <w:vAlign w:val="bottom"/>
          </w:tcPr>
          <w:p>
            <w:pPr>
              <w:ind w:left="2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425,325</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the following warrants were issued and outstanding: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As of December 31, 2020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r>
        <w:trPr>
          <w:trHeight w:val="179"/>
        </w:trPr>
        <w:tc>
          <w:tcPr>
            <w:tcW w:w="1780" w:type="dxa"/>
            <w:vAlign w:val="bottom"/>
          </w:tcPr>
          <w:p>
            <w:pPr>
              <w:spacing w:after="0"/>
              <w:rPr>
                <w:sz w:val="15"/>
                <w:szCs w:val="15"/>
                <w:color w:val="auto"/>
              </w:rPr>
            </w:pPr>
          </w:p>
        </w:tc>
        <w:tc>
          <w:tcPr>
            <w:tcW w:w="384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Issued and Outstanding Share Warrants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7"/>
          </w:tcPr>
          <w:p>
            <w:pPr>
              <w:jc w:val="right"/>
              <w:ind w:right="578"/>
              <w:spacing w:after="0"/>
              <w:rPr>
                <w:sz w:val="20"/>
                <w:szCs w:val="20"/>
                <w:color w:val="auto"/>
              </w:rPr>
            </w:pPr>
            <w:r>
              <w:rPr>
                <w:rFonts w:ascii="Arial" w:cs="Arial" w:eastAsia="Arial" w:hAnsi="Arial"/>
                <w:sz w:val="14"/>
                <w:szCs w:val="14"/>
                <w:b w:val="1"/>
                <w:bCs w:val="1"/>
                <w:color w:val="auto"/>
              </w:rPr>
              <w:t>Weighted-Average Exercise Price</w:t>
            </w:r>
          </w:p>
        </w:tc>
        <w:tc>
          <w:tcPr>
            <w:tcW w:w="1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Expiration Date</w:t>
            </w:r>
          </w:p>
        </w:tc>
      </w:tr>
      <w:tr>
        <w:trPr>
          <w:trHeight w:val="179"/>
        </w:trPr>
        <w:tc>
          <w:tcPr>
            <w:tcW w:w="17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Series B</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Series C</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Series E-1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Series B</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Series C</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Series E-1</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r>
      <w:tr>
        <w:trPr>
          <w:trHeight w:val="219"/>
        </w:trPr>
        <w:tc>
          <w:tcPr>
            <w:tcW w:w="1780" w:type="dxa"/>
            <w:vAlign w:val="bottom"/>
            <w:shd w:val="clear" w:color="auto" w:fill="CCEEFF"/>
          </w:tcPr>
          <w:p>
            <w:pPr>
              <w:jc w:val="center"/>
              <w:ind w:right="812"/>
              <w:spacing w:after="0"/>
              <w:rPr>
                <w:sz w:val="20"/>
                <w:szCs w:val="20"/>
                <w:color w:val="auto"/>
              </w:rPr>
            </w:pPr>
            <w:r>
              <w:rPr>
                <w:rFonts w:ascii="Arial" w:cs="Arial" w:eastAsia="Arial" w:hAnsi="Arial"/>
                <w:sz w:val="18"/>
                <w:szCs w:val="18"/>
                <w:color w:val="auto"/>
                <w:w w:val="97"/>
              </w:rPr>
              <w:t>Series B/C</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2025</w:t>
            </w:r>
          </w:p>
        </w:tc>
      </w:tr>
      <w:tr>
        <w:trPr>
          <w:trHeight w:val="225"/>
        </w:trPr>
        <w:tc>
          <w:tcPr>
            <w:tcW w:w="1780" w:type="dxa"/>
            <w:vAlign w:val="bottom"/>
          </w:tcPr>
          <w:p>
            <w:pPr>
              <w:jc w:val="center"/>
              <w:ind w:right="832"/>
              <w:spacing w:after="0"/>
              <w:rPr>
                <w:sz w:val="20"/>
                <w:szCs w:val="20"/>
                <w:color w:val="auto"/>
              </w:rPr>
            </w:pPr>
            <w:r>
              <w:rPr>
                <w:rFonts w:ascii="Arial" w:cs="Arial" w:eastAsia="Arial" w:hAnsi="Arial"/>
                <w:sz w:val="18"/>
                <w:szCs w:val="18"/>
                <w:color w:val="auto"/>
                <w:w w:val="97"/>
              </w:rPr>
              <w:t>Series E-1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1,433,142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8"/>
              </w:rPr>
              <w:t>November 2022</w:t>
            </w:r>
          </w:p>
        </w:tc>
      </w:tr>
      <w:tr>
        <w:trPr>
          <w:trHeight w:val="244"/>
        </w:trPr>
        <w:tc>
          <w:tcPr>
            <w:tcW w:w="1780" w:type="dxa"/>
            <w:vAlign w:val="bottom"/>
            <w:tcBorders>
              <w:top w:val="single" w:sz="8" w:color="CCEEFF"/>
              <w:bottom w:val="single" w:sz="8" w:color="CCEEFF"/>
            </w:tcBorders>
            <w:shd w:val="clear" w:color="auto" w:fill="CCEEFF"/>
          </w:tcPr>
          <w:p>
            <w:pPr>
              <w:jc w:val="center"/>
              <w:ind w:right="852"/>
              <w:spacing w:after="0"/>
              <w:rPr>
                <w:sz w:val="20"/>
                <w:szCs w:val="20"/>
                <w:color w:val="auto"/>
              </w:rPr>
            </w:pPr>
            <w:r>
              <w:rPr>
                <w:rFonts w:ascii="Arial" w:cs="Arial" w:eastAsia="Arial" w:hAnsi="Arial"/>
                <w:sz w:val="18"/>
                <w:szCs w:val="18"/>
                <w:color w:val="auto"/>
                <w:w w:val="89"/>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of December 31, 2020, the shares issuable upon exercise of the Series B/C convertible preferred share warrants were Series B convertible preferred shares or Series C convertible preferred shares. Such election may be made by the holder of the Series B/C convertible preferred share warrant in its sole discretion. On May 4, 2021, the Series B/C convertible preferred share warrant was amended and restated to, among other things, remove the holder's Series B/C convertible preferred share election right. As a result of the amendment, prior to the IPO, the shares issuable upon exercise of the Series B/C convertible preferred share warrant shall solely be Series B convertible preferred shares. All other terms and conditions of the Series B/C convertible preferred share warrant, as shown in the table above, remained unchanged. As discussed in Note 2 above, upon completion of the IPO during the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of 2021, the Series B/C convertible preferred share warrants automatically converted to warrants to purchase ordinary shares.</w:t>
      </w:r>
    </w:p>
    <w:p>
      <w:pPr>
        <w:spacing w:after="0" w:line="164" w:lineRule="exact"/>
        <w:rPr>
          <w:sz w:val="20"/>
          <w:szCs w:val="20"/>
          <w:color w:val="auto"/>
        </w:rPr>
      </w:pPr>
    </w:p>
    <w:p>
      <w:pPr>
        <w:ind w:right="420" w:firstLine="318"/>
        <w:spacing w:after="0" w:line="248" w:lineRule="auto"/>
        <w:rPr>
          <w:sz w:val="20"/>
          <w:szCs w:val="20"/>
          <w:color w:val="auto"/>
        </w:rPr>
      </w:pPr>
      <w:r>
        <w:rPr>
          <w:rFonts w:ascii="Arial" w:cs="Arial" w:eastAsia="Arial" w:hAnsi="Arial"/>
          <w:sz w:val="18"/>
          <w:szCs w:val="18"/>
          <w:color w:val="auto"/>
        </w:rPr>
        <w:t>Prior to IPO, we remeasured our outstanding convertible preferred share warrant liabilities to fair value using the Black-Scholes option-pricing model. As of December 31, 2021, there were no shares of convertible preferred share warrants issued and outstanding. As of December 31, 2020 the key inputs used in the valuation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72"/>
        </w:trPr>
        <w:tc>
          <w:tcPr>
            <w:tcW w:w="934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2020</w:t>
            </w:r>
          </w:p>
        </w:tc>
      </w:tr>
      <w:tr>
        <w:trPr>
          <w:trHeight w:val="218"/>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B convertible preferred shares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$13.32</w:t>
            </w:r>
          </w:p>
        </w:tc>
      </w:tr>
      <w:tr>
        <w:trPr>
          <w:trHeight w:val="225"/>
        </w:trPr>
        <w:tc>
          <w:tcPr>
            <w:tcW w:w="9340" w:type="dxa"/>
            <w:vAlign w:val="bottom"/>
          </w:tcPr>
          <w:p>
            <w:pPr>
              <w:ind w:left="20"/>
              <w:spacing w:after="0"/>
              <w:rPr>
                <w:sz w:val="20"/>
                <w:szCs w:val="20"/>
                <w:color w:val="auto"/>
              </w:rPr>
            </w:pPr>
            <w:r>
              <w:rPr>
                <w:rFonts w:ascii="Arial" w:cs="Arial" w:eastAsia="Arial" w:hAnsi="Arial"/>
                <w:sz w:val="18"/>
                <w:szCs w:val="18"/>
                <w:color w:val="auto"/>
              </w:rPr>
              <w:t>Fair value of Series E convertible preferred shares</w:t>
            </w: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$20.74</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0.75-1.75</w:t>
            </w:r>
          </w:p>
        </w:tc>
      </w:tr>
      <w:tr>
        <w:trPr>
          <w:trHeight w:val="225"/>
        </w:trPr>
        <w:tc>
          <w:tcPr>
            <w:tcW w:w="93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70.00%</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0.10%-0.12%</w:t>
            </w:r>
          </w:p>
        </w:tc>
      </w:tr>
      <w:tr>
        <w:trPr>
          <w:trHeight w:val="224"/>
        </w:trPr>
        <w:tc>
          <w:tcPr>
            <w:tcW w:w="93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0.00%</w:t>
            </w:r>
          </w:p>
        </w:tc>
      </w:tr>
    </w:tbl>
    <w:p>
      <w:pPr>
        <w:spacing w:after="0" w:line="252"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Estimates of expected term were based on the remaining contractual period of the warrants. Estimates of the volatility for the Black-Scholes option-pricing model were based on the volatility of the respective convertible preferred shares. The risk-free interest rates were based on the U.S. Treasury yield for a term consistent with the estimated expected terms. We have never declared or paid any cash dividends and do not presently plan to pay cash dividends in the foreseeable future. As a result, an expected dividend yield of zero percent was used.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Ordinary Shares and Equity Incentive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86" w:lineRule="exact"/>
        <w:rPr>
          <w:sz w:val="20"/>
          <w:szCs w:val="20"/>
          <w:color w:val="auto"/>
        </w:rPr>
      </w:pPr>
    </w:p>
    <w:p>
      <w:pPr>
        <w:ind w:right="380" w:firstLine="318"/>
        <w:spacing w:after="0" w:line="251" w:lineRule="auto"/>
        <w:rPr>
          <w:sz w:val="20"/>
          <w:szCs w:val="20"/>
          <w:color w:val="auto"/>
        </w:rPr>
      </w:pPr>
      <w:r>
        <w:rPr>
          <w:rFonts w:ascii="Arial" w:cs="Arial" w:eastAsia="Arial" w:hAnsi="Arial"/>
          <w:sz w:val="18"/>
          <w:szCs w:val="18"/>
          <w:color w:val="auto"/>
        </w:rPr>
        <w:t>Upon the completion of the IPO, our amended and restated AoA became effective, which authorized the issuance of up to 900,000,000 Class A ordinary shares with no par value and 232,500,000 Class B ordinary shares with no par value, respectively.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the following ordinary shares reserved for future issuance: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4"/>
                <w:szCs w:val="14"/>
                <w:b w:val="1"/>
                <w:bCs w:val="1"/>
                <w:color w:val="auto"/>
              </w:rPr>
              <w:t>As of December 31,</w:t>
            </w:r>
          </w:p>
        </w:tc>
      </w:tr>
      <w:tr>
        <w:trPr>
          <w:trHeight w:val="200"/>
        </w:trPr>
        <w:tc>
          <w:tcPr>
            <w:tcW w:w="8020" w:type="dxa"/>
            <w:vAlign w:val="bottom"/>
          </w:tcPr>
          <w:p>
            <w:pPr>
              <w:spacing w:after="0"/>
              <w:rPr>
                <w:sz w:val="17"/>
                <w:szCs w:val="17"/>
                <w:color w:val="auto"/>
              </w:rPr>
            </w:pP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shares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29,878,116</w:t>
            </w:r>
          </w:p>
        </w:tc>
      </w:tr>
      <w:tr>
        <w:trPr>
          <w:trHeight w:val="225"/>
        </w:trPr>
        <w:tc>
          <w:tcPr>
            <w:tcW w:w="8020" w:type="dxa"/>
            <w:vAlign w:val="bottom"/>
          </w:tcPr>
          <w:p>
            <w:pPr>
              <w:ind w:left="20"/>
              <w:spacing w:after="0" w:line="225" w:lineRule="exact"/>
              <w:rPr>
                <w:sz w:val="20"/>
                <w:szCs w:val="20"/>
                <w:color w:val="auto"/>
              </w:rPr>
            </w:pPr>
            <w:r>
              <w:rPr>
                <w:rFonts w:ascii="Arial" w:cs="Arial" w:eastAsia="Arial" w:hAnsi="Arial"/>
                <w:sz w:val="18"/>
                <w:szCs w:val="18"/>
                <w:color w:val="auto"/>
              </w:rPr>
              <w:t>Warrants to purchase convertible preferred shares</w:t>
            </w:r>
            <w:r>
              <w:rPr>
                <w:rFonts w:ascii="Arial" w:cs="Arial" w:eastAsia="Arial" w:hAnsi="Arial"/>
                <w:sz w:val="22"/>
                <w:szCs w:val="22"/>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1,858,467</w:t>
            </w:r>
          </w:p>
        </w:tc>
      </w:tr>
      <w:tr>
        <w:trPr>
          <w:trHeight w:val="225"/>
        </w:trPr>
        <w:tc>
          <w:tcPr>
            <w:tcW w:w="8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Warrants to purchase ordinary shares</w:t>
            </w:r>
            <w:r>
              <w:rPr>
                <w:rFonts w:ascii="Arial" w:cs="Arial" w:eastAsia="Arial" w:hAnsi="Arial"/>
                <w:sz w:val="22"/>
                <w:szCs w:val="22"/>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1,775,475</w:t>
            </w:r>
          </w:p>
        </w:tc>
        <w:tc>
          <w:tcPr>
            <w:tcW w:w="100" w:type="dxa"/>
            <w:vAlign w:val="bottom"/>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Share options and RSUs issued and outstanding under the 2013 Plan</w:t>
            </w:r>
          </w:p>
        </w:tc>
        <w:tc>
          <w:tcPr>
            <w:tcW w:w="1560" w:type="dxa"/>
            <w:vAlign w:val="bottom"/>
          </w:tcPr>
          <w:p>
            <w:pPr>
              <w:jc w:val="right"/>
              <w:spacing w:after="0"/>
              <w:rPr>
                <w:sz w:val="20"/>
                <w:szCs w:val="20"/>
                <w:color w:val="auto"/>
              </w:rPr>
            </w:pPr>
            <w:r>
              <w:rPr>
                <w:rFonts w:ascii="Arial" w:cs="Arial" w:eastAsia="Arial" w:hAnsi="Arial"/>
                <w:sz w:val="18"/>
                <w:szCs w:val="18"/>
                <w:color w:val="auto"/>
              </w:rPr>
              <w:t>26,460,287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5,934,521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shares available for future issuance under the 2013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2,129,796</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Share options and RSUs issued and outstanding under the 2021 Plan</w:t>
            </w:r>
          </w:p>
        </w:tc>
        <w:tc>
          <w:tcPr>
            <w:tcW w:w="1560" w:type="dxa"/>
            <w:vAlign w:val="bottom"/>
          </w:tcPr>
          <w:p>
            <w:pPr>
              <w:jc w:val="right"/>
              <w:spacing w:after="0"/>
              <w:rPr>
                <w:sz w:val="20"/>
                <w:szCs w:val="20"/>
                <w:color w:val="auto"/>
              </w:rPr>
            </w:pPr>
            <w:r>
              <w:rPr>
                <w:rFonts w:ascii="Arial" w:cs="Arial" w:eastAsia="Arial" w:hAnsi="Arial"/>
                <w:sz w:val="18"/>
                <w:szCs w:val="18"/>
                <w:color w:val="auto"/>
              </w:rPr>
              <w:t>803,556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shares available for future issuance under the 2021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13,474,214</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 ordinary shares reserved</w:t>
            </w:r>
          </w:p>
        </w:tc>
        <w:tc>
          <w:tcPr>
            <w:tcW w:w="1560" w:type="dxa"/>
            <w:vAlign w:val="bottom"/>
          </w:tcPr>
          <w:p>
            <w:pPr>
              <w:jc w:val="right"/>
              <w:spacing w:after="0"/>
              <w:rPr>
                <w:sz w:val="20"/>
                <w:szCs w:val="20"/>
                <w:color w:val="auto"/>
              </w:rPr>
            </w:pPr>
            <w:r>
              <w:rPr>
                <w:rFonts w:ascii="Arial" w:cs="Arial" w:eastAsia="Arial" w:hAnsi="Arial"/>
                <w:sz w:val="18"/>
                <w:szCs w:val="18"/>
                <w:color w:val="auto"/>
              </w:rPr>
              <w:t>42,513,532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39,800,900</w:t>
            </w:r>
          </w:p>
        </w:tc>
      </w:tr>
      <w:tr>
        <w:trPr>
          <w:trHeight w:val="20"/>
        </w:trPr>
        <w:tc>
          <w:tcPr>
            <w:tcW w:w="80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ind w:left="320" w:right="100" w:hanging="314"/>
        <w:spacing w:after="0" w:line="239" w:lineRule="auto"/>
        <w:tabs>
          <w:tab w:leader="none" w:pos="307"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the Series E-1 convertible preferred share warrant and the Series B/C convertible preferred share warrant. Prior to May 4, 2021, assumes the Series B/C convertible preferred share warrants are exercised into Series B convertible preferred shares. If the holder had elected to exercise into Series C convertible preferred shares, total ordinary shares reserved for future issuance would be 39,483,675 as of December 31, 2020. On May 4, 2021, the Series B/C convertible preferred share warrant was amended and restated to, among other things, remove the holder's Series B/C convertible preferred share election right. As a result of the amendment, the shares issuable upon exercise of the Series B/C convertible preferred share warrant shall solely be Series B convertible preferred shares. Upon completion of the IPO, the Series B/C convertible preferred share warrants automatically converted to warrants to purchase ordinary shares.</w:t>
      </w:r>
    </w:p>
    <w:p>
      <w:pPr>
        <w:spacing w:after="0" w:line="151" w:lineRule="exact"/>
        <w:rPr>
          <w:rFonts w:ascii="Arial" w:cs="Arial" w:eastAsia="Arial" w:hAnsi="Arial"/>
          <w:sz w:val="14"/>
          <w:szCs w:val="14"/>
          <w:color w:val="auto"/>
        </w:rPr>
      </w:pPr>
    </w:p>
    <w:p>
      <w:pPr>
        <w:ind w:left="320" w:right="20" w:hanging="314"/>
        <w:spacing w:after="0" w:line="250" w:lineRule="auto"/>
        <w:tabs>
          <w:tab w:leader="none" w:pos="307"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the warrants to purchase ordinary shares as a result of the conversion of Series B/C convertible preferred share warrants discussed in (1) above, and warrants issued to customers.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6"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The 2013 Equity Incentive Plan, or the 2013 Plan, was adopted by our board of directors on July 13, 2013 and amended and restated on February 23, 2021. The U.S. Sub-Plan to the 2013 Plan, or the U.S. Sub-Plan, was adopted by our board of directors on May 10, 2015 and amended and restated on February 23, 2021. The 2013 Plan and U.S. Sub-Plan provide for the grant of equity-based incentive awards to our employees, directors, office holders, and consultants in order to incentivize them to increase their efforts on behalf of us and to promote the success of our business.</w:t>
      </w:r>
    </w:p>
    <w:p>
      <w:pPr>
        <w:spacing w:after="0" w:line="154"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Immediately prior to the completion of the IPO, we adopted the 2021 Share Incentive Plan, or the 2021 Plan. Following the effectiveness of the 2021 Plan, we no longer grant any awards under the 2013 Plan, though previously granted share-based awards under the 2013 Plan remain outstanding and governed by the 2013 Plan. The 2021 Plan provides for the grant of stock options (including incentive stock options and non-qualified stock options), Class A ordinary shares, restricted shares, RSUs, stock appreciation rights and other share-based awards. The maximum number of Class A ordinary shares available for issuance under the 2021 Plan is equal to the sum of (i) 13,951,037 Class A ordinary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2021 Plan, equal to the lesser of (A) 5% of the outstanding Class A ordinary shares of the Company on the last day of the immediately preceding calendar year, on a fully diluted, as converted basis; and (B) such amount as determined by our board of directors if so determined prior to January 1 of a calendar year, provided that no more than 13,951,037 Class A ordinary shares may be issued upon the exercise of incentive 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 and Shares Available for Grant</w:t>
      </w:r>
    </w:p>
    <w:p>
      <w:pPr>
        <w:spacing w:after="0" w:line="18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Share options generally vest over four years and expire ten years after the date of grant. We issue Class A ordinary shares upon exercise of share options. A summary of share options under our equity incentive plan and related information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Share Options Outstanding</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Weighted-Average</w:t>
            </w:r>
          </w:p>
        </w:tc>
        <w:tc>
          <w:tcPr>
            <w:tcW w:w="1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Weighted-Average</w:t>
            </w: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Outstanding Share</w:t>
            </w:r>
          </w:p>
        </w:tc>
        <w:tc>
          <w:tcPr>
            <w:tcW w:w="1560" w:type="dxa"/>
            <w:vAlign w:val="bottom"/>
            <w:gridSpan w:val="2"/>
            <w:vMerge w:val="continue"/>
          </w:tcPr>
          <w:p>
            <w:pPr>
              <w:spacing w:after="0"/>
              <w:rPr>
                <w:sz w:val="11"/>
                <w:szCs w:val="11"/>
                <w:color w:val="auto"/>
              </w:rPr>
            </w:pP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Remaining</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Exercise</w:t>
            </w: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Contractual Life</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13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Options</w:t>
            </w:r>
          </w:p>
        </w:tc>
        <w:tc>
          <w:tcPr>
            <w:tcW w:w="98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b w:val="1"/>
                <w:bCs w:val="1"/>
                <w:color w:val="auto"/>
                <w:w w:val="99"/>
              </w:rPr>
              <w:t>Price</w:t>
            </w: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4820" w:type="dxa"/>
            <w:vAlign w:val="bottom"/>
            <w:gridSpan w:val="5"/>
          </w:tcPr>
          <w:p>
            <w:pPr>
              <w:ind w:left="1180"/>
              <w:spacing w:after="0"/>
              <w:rPr>
                <w:sz w:val="20"/>
                <w:szCs w:val="20"/>
                <w:color w:val="auto"/>
              </w:rPr>
            </w:pPr>
            <w:r>
              <w:rPr>
                <w:rFonts w:ascii="Arial" w:cs="Arial" w:eastAsia="Arial" w:hAnsi="Arial"/>
                <w:sz w:val="14"/>
                <w:szCs w:val="14"/>
                <w:b w:val="1"/>
                <w:bCs w:val="1"/>
                <w:color w:val="auto"/>
              </w:rPr>
              <w:t>(in thousands, except share, life and per share data)</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5,934,521</w:t>
            </w:r>
          </w:p>
        </w:tc>
        <w:tc>
          <w:tcPr>
            <w:tcW w:w="9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3.31</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48,479</w:t>
            </w:r>
          </w:p>
        </w:tc>
        <w:tc>
          <w:tcPr>
            <w:tcW w:w="0" w:type="dxa"/>
            <w:vAlign w:val="bottom"/>
          </w:tcPr>
          <w:p>
            <w:pPr>
              <w:spacing w:after="0"/>
              <w:rPr>
                <w:sz w:val="1"/>
                <w:szCs w:val="1"/>
                <w:color w:val="auto"/>
              </w:rPr>
            </w:pPr>
          </w:p>
        </w:tc>
      </w:tr>
      <w:tr>
        <w:trPr>
          <w:trHeight w:val="225"/>
        </w:trPr>
        <w:tc>
          <w:tcPr>
            <w:tcW w:w="54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2,244,856</w:t>
            </w:r>
          </w:p>
        </w:tc>
        <w:tc>
          <w:tcPr>
            <w:tcW w:w="98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11.17</w:t>
            </w: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Bonus issuance upon Recapitalization</w:t>
            </w:r>
            <w:r>
              <w:rPr>
                <w:rFonts w:ascii="Arial" w:cs="Arial" w:eastAsia="Arial" w:hAnsi="Arial"/>
                <w:sz w:val="22"/>
                <w:szCs w:val="22"/>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14,269,379</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(3,006,393)</w:t>
            </w:r>
          </w:p>
        </w:tc>
        <w:tc>
          <w:tcPr>
            <w:tcW w:w="98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0.99</w:t>
            </w: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(607,623)</w:t>
            </w:r>
          </w:p>
        </w:tc>
        <w:tc>
          <w:tcPr>
            <w:tcW w:w="9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5.13</w:t>
            </w:r>
          </w:p>
        </w:tc>
        <w:tc>
          <w:tcPr>
            <w:tcW w:w="1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18,834,740</w:t>
            </w:r>
          </w:p>
        </w:tc>
        <w:tc>
          <w:tcPr>
            <w:tcW w:w="98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2.05</w:t>
            </w:r>
          </w:p>
        </w:tc>
        <w:tc>
          <w:tcPr>
            <w:tcW w:w="1480" w:type="dxa"/>
            <w:vAlign w:val="bottom"/>
          </w:tcPr>
          <w:p>
            <w:pPr>
              <w:jc w:val="right"/>
              <w:ind w:right="2"/>
              <w:spacing w:after="0"/>
              <w:rPr>
                <w:sz w:val="20"/>
                <w:szCs w:val="20"/>
                <w:color w:val="auto"/>
              </w:rPr>
            </w:pPr>
            <w:r>
              <w:rPr>
                <w:rFonts w:ascii="Arial" w:cs="Arial" w:eastAsia="Arial" w:hAnsi="Arial"/>
                <w:sz w:val="18"/>
                <w:szCs w:val="18"/>
                <w:color w:val="auto"/>
              </w:rPr>
              <w:t>7.0</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109,397</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10,181,218</w:t>
            </w:r>
          </w:p>
        </w:tc>
        <w:tc>
          <w:tcPr>
            <w:tcW w:w="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0.91</w:t>
            </w: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70,767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tabs>
          <w:tab w:leader="none" w:pos="300" w:val="left"/>
        </w:tabs>
        <w:rPr>
          <w:sz w:val="20"/>
          <w:szCs w:val="20"/>
          <w:color w:val="auto"/>
        </w:rPr>
      </w:pPr>
      <w:r>
        <w:rPr>
          <w:rFonts w:ascii="Arial" w:cs="Arial" w:eastAsia="Arial" w:hAnsi="Arial"/>
          <w:sz w:val="14"/>
          <w:szCs w:val="14"/>
          <w:color w:val="auto"/>
        </w:rPr>
        <w:t>(1)</w:t>
        <w:tab/>
        <w:t>As of December 31, 2021, these shares options are to be settled in Class A ordinary shares upon exercise.</w:t>
      </w:r>
    </w:p>
    <w:p>
      <w:pPr>
        <w:spacing w:after="0" w:line="3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grant date fair value of share options granted during the years ended December 31, 2021, 2020, and 2019 were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$16.63, $4.40, and $4.30, respectively. The aggregate grant date fair value of share options vested during the years ended December 31,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2020, and 2019 were $3.2 million, $2.6 million, and $0.7 million, respectively. The total intrinsic value of share options exercised during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2021, 2020, and 2019 were $68.6 million, $4.3 million, and $2.7 million, respectively. As of December 31, 2021,</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unrecognized share-based compensation cost related to unvested share options was $27.4 million, which is expected to be recognized over 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period of 3.1 years.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Black-Scholes assumptions used to value the employee share options at the grant dates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79"/>
        </w:trPr>
        <w:tc>
          <w:tcPr>
            <w:tcW w:w="490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4"/>
                <w:szCs w:val="14"/>
                <w:b w:val="1"/>
                <w:bCs w:val="1"/>
                <w:color w:val="auto"/>
              </w:rPr>
              <w:t>2019</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- 6.60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- 6.11</w:t>
            </w:r>
          </w:p>
        </w:tc>
      </w:tr>
      <w:tr>
        <w:trPr>
          <w:trHeight w:val="225"/>
        </w:trPr>
        <w:tc>
          <w:tcPr>
            <w:tcW w:w="49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jc w:val="right"/>
              <w:spacing w:after="0"/>
              <w:rPr>
                <w:sz w:val="20"/>
                <w:szCs w:val="20"/>
                <w:color w:val="auto"/>
              </w:rPr>
            </w:pPr>
            <w:r>
              <w:rPr>
                <w:rFonts w:ascii="Arial" w:cs="Arial" w:eastAsia="Arial" w:hAnsi="Arial"/>
                <w:sz w:val="18"/>
                <w:szCs w:val="18"/>
                <w:color w:val="auto"/>
              </w:rPr>
              <w:t>67.26%</w:t>
            </w:r>
          </w:p>
        </w:tc>
        <w:tc>
          <w:tcPr>
            <w:tcW w:w="1060" w:type="dxa"/>
            <w:vAlign w:val="bottom"/>
          </w:tcPr>
          <w:p>
            <w:pPr>
              <w:ind w:left="40"/>
              <w:spacing w:after="0"/>
              <w:rPr>
                <w:sz w:val="20"/>
                <w:szCs w:val="20"/>
                <w:color w:val="auto"/>
              </w:rPr>
            </w:pPr>
            <w:r>
              <w:rPr>
                <w:rFonts w:ascii="Arial" w:cs="Arial" w:eastAsia="Arial" w:hAnsi="Arial"/>
                <w:sz w:val="18"/>
                <w:szCs w:val="18"/>
                <w:color w:val="auto"/>
              </w:rPr>
              <w:t>- 68.52%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w:t>
            </w:r>
          </w:p>
        </w:tc>
        <w:tc>
          <w:tcPr>
            <w:tcW w:w="1060" w:type="dxa"/>
            <w:vAlign w:val="bottom"/>
          </w:tcPr>
          <w:p>
            <w:pPr>
              <w:ind w:left="20"/>
              <w:spacing w:after="0"/>
              <w:rPr>
                <w:sz w:val="20"/>
                <w:szCs w:val="20"/>
                <w:color w:val="auto"/>
              </w:rPr>
            </w:pPr>
            <w:r>
              <w:rPr>
                <w:rFonts w:ascii="Arial" w:cs="Arial" w:eastAsia="Arial" w:hAnsi="Arial"/>
                <w:sz w:val="18"/>
                <w:szCs w:val="18"/>
                <w:color w:val="auto"/>
              </w:rPr>
              <w:t>- 65.00%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w:t>
            </w:r>
          </w:p>
        </w:tc>
        <w:tc>
          <w:tcPr>
            <w:tcW w:w="1080" w:type="dxa"/>
            <w:vAlign w:val="bottom"/>
          </w:tcPr>
          <w:p>
            <w:pPr>
              <w:ind w:left="40"/>
              <w:spacing w:after="0"/>
              <w:rPr>
                <w:sz w:val="20"/>
                <w:szCs w:val="20"/>
                <w:color w:val="auto"/>
              </w:rPr>
            </w:pPr>
            <w:r>
              <w:rPr>
                <w:rFonts w:ascii="Arial" w:cs="Arial" w:eastAsia="Arial" w:hAnsi="Arial"/>
                <w:sz w:val="18"/>
                <w:szCs w:val="18"/>
                <w:color w:val="auto"/>
              </w:rPr>
              <w:t>- 62.61%</w:t>
            </w: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- 2.50%</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52"/>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0.00%</w:t>
            </w: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46" w:lineRule="exact"/>
        <w:rPr>
          <w:sz w:val="20"/>
          <w:szCs w:val="20"/>
          <w:color w:val="auto"/>
        </w:rPr>
      </w:pPr>
    </w:p>
    <w:p>
      <w:pPr>
        <w:ind w:left="640" w:right="80" w:hanging="316"/>
        <w:spacing w:after="0" w:line="259"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Ordinary Shares - </w:t>
      </w:r>
      <w:r>
        <w:rPr>
          <w:rFonts w:ascii="Arial" w:cs="Arial" w:eastAsia="Arial" w:hAnsi="Arial"/>
          <w:sz w:val="18"/>
          <w:szCs w:val="18"/>
          <w:color w:val="auto"/>
        </w:rPr>
        <w:t>Prior to IPO, the fair value was determined by our board of directors, with input from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reports prepared by third-party valuation specialists. Post IPO, the fair value of each ordinary share was based on the closing price of our publicly traded ordinary shares as reported on the date of the grant.</w:t>
      </w:r>
    </w:p>
    <w:p>
      <w:pPr>
        <w:spacing w:after="0" w:line="177" w:lineRule="exact"/>
        <w:rPr>
          <w:rFonts w:ascii="Arial" w:cs="Arial" w:eastAsia="Arial" w:hAnsi="Arial"/>
          <w:sz w:val="18"/>
          <w:szCs w:val="18"/>
          <w:color w:val="auto"/>
        </w:rPr>
      </w:pPr>
    </w:p>
    <w:p>
      <w:pPr>
        <w:ind w:left="640" w:right="380" w:hanging="316"/>
        <w:spacing w:after="0" w:line="259"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 </w:t>
      </w:r>
      <w:r>
        <w:rPr>
          <w:rFonts w:ascii="Arial" w:cs="Arial" w:eastAsia="Arial" w:hAnsi="Arial"/>
          <w:sz w:val="18"/>
          <w:szCs w:val="18"/>
          <w:color w:val="auto"/>
        </w:rPr>
        <w:t>The expected term represents the period that the share options are expected to be outstanding. For share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that are considered to be “plain vanilla,” we determine the expected term using the simplified method. The simplified method deems the term to be the average of the time-to-vesting and the contractual life of the 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40" w:right="480" w:hanging="316"/>
        <w:spacing w:after="0" w:line="259"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As we have a short trading history for our ordinary shares, the expected volatility is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share volatilities of several unrelated public companies within our industry that we consider to be comparable to our own business over a period equivalent to the option’s expected term.</w:t>
      </w:r>
    </w:p>
    <w:p>
      <w:pPr>
        <w:spacing w:after="0" w:line="124" w:lineRule="exact"/>
        <w:rPr>
          <w:rFonts w:ascii="Arial" w:cs="Arial" w:eastAsia="Arial" w:hAnsi="Arial"/>
          <w:sz w:val="18"/>
          <w:szCs w:val="18"/>
          <w:color w:val="auto"/>
        </w:rPr>
      </w:pPr>
    </w:p>
    <w:p>
      <w:pPr>
        <w:ind w:left="640" w:right="760" w:hanging="316"/>
        <w:spacing w:after="0" w:line="272"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rate for the expected term of the share options are based on the yields of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maturities appropriate for the expected term of employee share option awards.</w:t>
      </w:r>
    </w:p>
    <w:p>
      <w:pPr>
        <w:spacing w:after="0" w:line="113" w:lineRule="exact"/>
        <w:rPr>
          <w:rFonts w:ascii="Arial" w:cs="Arial" w:eastAsia="Arial" w:hAnsi="Arial"/>
          <w:sz w:val="18"/>
          <w:szCs w:val="18"/>
          <w:color w:val="auto"/>
        </w:rPr>
      </w:pPr>
    </w:p>
    <w:p>
      <w:pPr>
        <w:ind w:left="640" w:right="180" w:hanging="316"/>
        <w:spacing w:after="0" w:line="272"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86"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Our RSUs outstanding generally vest either upon the satisfaction of service-based vesting conditions only, the satisfaction of both service-based and performance-based vesting conditions or the satisfaction of service-based, performance-based and market-based vesting conditions. Please refer to Note 2 above for more information regarding the vesting conditions of our RSUs. RSUs can only vest prior to the expiration date of the award which is seven years from the date of grant. Shareholders are able to retain RSUs vested with respect to the satisfaction of the service-based vesting condition upon termination of employment or service, and such RSUs remain subject to the performance-based vesting condition. Any RSUs that have not vested will automatically terminate on their expiration date.</w:t>
      </w:r>
    </w:p>
    <w:p>
      <w:pPr>
        <w:spacing w:after="0" w:line="15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For awards with both service-based and performance-based vesting conditions, the performance-based vesting condition was deemed probable of being achieved upon the closing of our IPO, upon which we recorded a cumulative catch-up of share-based compensation expense of $2.6 million using the accelerated attribution method.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including activity under our equity incentive plan, and related information is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54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right="58"/>
              <w:spacing w:after="0" w:line="159" w:lineRule="exact"/>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3"/>
        </w:trPr>
        <w:tc>
          <w:tcPr>
            <w:tcW w:w="7540" w:type="dxa"/>
            <w:vAlign w:val="bottom"/>
          </w:tcPr>
          <w:p>
            <w:pPr>
              <w:spacing w:after="0"/>
              <w:rPr>
                <w:sz w:val="11"/>
                <w:szCs w:val="11"/>
                <w:color w:val="auto"/>
              </w:rPr>
            </w:pPr>
          </w:p>
        </w:tc>
        <w:tc>
          <w:tcPr>
            <w:tcW w:w="1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rPr>
              <w:t>Grant-Date Fair Value</w:t>
            </w:r>
          </w:p>
        </w:tc>
        <w:tc>
          <w:tcPr>
            <w:tcW w:w="0" w:type="dxa"/>
            <w:vAlign w:val="bottom"/>
          </w:tcPr>
          <w:p>
            <w:pPr>
              <w:spacing w:after="0"/>
              <w:rPr>
                <w:sz w:val="1"/>
                <w:szCs w:val="1"/>
                <w:color w:val="auto"/>
              </w:rPr>
            </w:pPr>
          </w:p>
        </w:tc>
      </w:tr>
      <w:tr>
        <w:trPr>
          <w:trHeight w:val="172"/>
        </w:trPr>
        <w:tc>
          <w:tcPr>
            <w:tcW w:w="754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3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3,253,008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Bonus issuance upon Recapitalization</w:t>
            </w:r>
            <w:r>
              <w:rPr>
                <w:rFonts w:ascii="Arial" w:cs="Arial" w:eastAsia="Arial" w:hAnsi="Arial"/>
                <w:sz w:val="22"/>
                <w:szCs w:val="22"/>
                <w:color w:val="auto"/>
                <w:vertAlign w:val="superscript"/>
              </w:rPr>
              <w:t>(1)</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5,183,698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540" w:type="dxa"/>
            <w:vAlign w:val="bottom"/>
            <w:tcBorders>
              <w:bottom w:val="single" w:sz="8" w:color="CCEEFF"/>
            </w:tcBorders>
            <w:shd w:val="clear" w:color="auto" w:fill="CCEEFF"/>
          </w:tcPr>
          <w:p>
            <w:pPr>
              <w:spacing w:after="0"/>
              <w:rPr>
                <w:sz w:val="8"/>
                <w:szCs w:val="8"/>
                <w:color w:val="auto"/>
              </w:rPr>
            </w:pPr>
          </w:p>
        </w:tc>
        <w:tc>
          <w:tcPr>
            <w:tcW w:w="18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6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57"/>
        </w:trPr>
        <w:tc>
          <w:tcPr>
            <w:tcW w:w="7540" w:type="dxa"/>
            <w:vAlign w:val="bottom"/>
          </w:tcPr>
          <w:p>
            <w:pPr>
              <w:ind w:left="20"/>
              <w:spacing w:after="0"/>
              <w:rPr>
                <w:sz w:val="20"/>
                <w:szCs w:val="20"/>
                <w:color w:val="auto"/>
              </w:rPr>
            </w:pPr>
            <w:r>
              <w:rPr>
                <w:rFonts w:ascii="Arial" w:cs="Arial" w:eastAsia="Arial" w:hAnsi="Arial"/>
                <w:sz w:val="18"/>
                <w:szCs w:val="18"/>
                <w:color w:val="auto"/>
              </w:rPr>
              <w:t>Unvested as of December 31, 2021</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8,429,103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5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As of December 31, 2021, these RSUs are to be settled in 437,870 Class A Ordinary Shares and 4,745,828 Class B Ordinary Shares upon vesting.</w:t>
      </w:r>
    </w:p>
    <w:p>
      <w:pPr>
        <w:spacing w:after="0" w:line="390"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As of December 31, 2021, total unrecognized share-based compensation expense related to unvested RSUs was approximately $103.0 million, which is expected to be recognized over a weighted-average period of 5.58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Share Purchase Plan</w:t>
      </w:r>
    </w:p>
    <w:p>
      <w:pPr>
        <w:spacing w:after="0" w:line="186"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We adopted the 2021 Employee Share Purchase Plan, or ESPP, immediately prior to our IPO. A total of 3,742,961 Class A ordinary shares are available for sale under the ESPP, subject to adjustment as provided for in the ESPP. In addition, on the first day of each fiscal year beginning on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and ending on and including January 1, 2031, such pool of Class A ordinary shares shall be increased by that number of our Class A ordinary shares equal to the lesser of: (i) 1% of the outstanding Class A ordinary shares as of the last day of the immediately preceding fiscal year, determined on a fully diluted as-converted basis; or (ii) such other amount as our board of directors may determine.</w:t>
      </w:r>
    </w:p>
    <w:p>
      <w:pPr>
        <w:spacing w:after="0" w:line="15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Generally, all of our employees are eligible to participate if they are employed by us. However, an employee may not be granted rights to purchase our ordinary shares under the ESPP if such employee (i) immediately after the grant would own capital shares or hold outstanding share options to purchase such shares possessing 5% or more of the total combined voting power or value of all classes of our shares or any of our subsidiaries.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we have not effected any offering under the ESPP.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Transactions</w:t>
      </w:r>
    </w:p>
    <w:p>
      <w:pPr>
        <w:spacing w:after="0" w:line="168" w:lineRule="exact"/>
        <w:rPr>
          <w:sz w:val="20"/>
          <w:szCs w:val="20"/>
          <w:color w:val="auto"/>
        </w:rPr>
      </w:pPr>
    </w:p>
    <w:p>
      <w:pPr>
        <w:ind w:right="60" w:firstLine="318"/>
        <w:spacing w:after="0" w:line="274" w:lineRule="auto"/>
        <w:rPr>
          <w:sz w:val="20"/>
          <w:szCs w:val="20"/>
          <w:color w:val="auto"/>
        </w:rPr>
      </w:pPr>
      <w:r>
        <w:rPr>
          <w:rFonts w:ascii="Arial" w:cs="Arial" w:eastAsia="Arial" w:hAnsi="Arial"/>
          <w:sz w:val="17"/>
          <w:szCs w:val="17"/>
          <w:i w:val="1"/>
          <w:iCs w:val="1"/>
          <w:color w:val="auto"/>
        </w:rPr>
        <w:t xml:space="preserve">2019 Secondary Transaction: </w:t>
      </w:r>
      <w:r>
        <w:rPr>
          <w:rFonts w:ascii="Arial" w:cs="Arial" w:eastAsia="Arial" w:hAnsi="Arial"/>
          <w:sz w:val="17"/>
          <w:szCs w:val="17"/>
          <w:color w:val="auto"/>
        </w:rPr>
        <w:t>In December 2019, in conjunction with the Series E convertible preferred share financing, our founders sold</w:t>
      </w:r>
      <w:r>
        <w:rPr>
          <w:rFonts w:ascii="Arial" w:cs="Arial" w:eastAsia="Arial" w:hAnsi="Arial"/>
          <w:sz w:val="17"/>
          <w:szCs w:val="17"/>
          <w:i w:val="1"/>
          <w:iCs w:val="1"/>
          <w:color w:val="auto"/>
        </w:rPr>
        <w:t xml:space="preserve"> </w:t>
      </w:r>
      <w:r>
        <w:rPr>
          <w:rFonts w:ascii="Arial" w:cs="Arial" w:eastAsia="Arial" w:hAnsi="Arial"/>
          <w:sz w:val="17"/>
          <w:szCs w:val="17"/>
          <w:color w:val="auto"/>
        </w:rPr>
        <w:t>1,012,572 ordinary shares to existing investors at a per share price of $18.08. As the purchases were made by economic interest holders in our acquired shares from our founders, we assessed the impact of this transaction at a price in excess of fair value of such shares. Accordingly, we recognized $9.6 million of such excess value as share-based compensation expense during the year ended December 31, 2019.</w:t>
      </w:r>
    </w:p>
    <w:p>
      <w:pPr>
        <w:spacing w:after="0" w:line="11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i w:val="1"/>
          <w:iCs w:val="1"/>
          <w:color w:val="auto"/>
        </w:rPr>
        <w:t xml:space="preserve">2020 Secondary Transaction: </w:t>
      </w:r>
      <w:r>
        <w:rPr>
          <w:rFonts w:ascii="Arial" w:cs="Arial" w:eastAsia="Arial" w:hAnsi="Arial"/>
          <w:sz w:val="18"/>
          <w:szCs w:val="18"/>
          <w:color w:val="auto"/>
        </w:rPr>
        <w:t>In April 2020, in conjunction with the Series E convertible preferred shares financing,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shareholders sold 1,120,809 ordinary shares, of which 521,473 shares were sold by our employees to existing investors at a per share price of $18.08. As the purchases were made by economic interest holders in our acquired shares from our employees, we assessed the impact of this transaction at a price in excess of fair value of such shares. Accordingly, we recognized $5.5 million of such excess value as share-based compensation expense during the year ended December 31,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Share-based compensation expense by line item in the consolidated statements of operations is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9"/>
        </w:trPr>
        <w:tc>
          <w:tcPr>
            <w:tcW w:w="63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79"/>
        </w:trPr>
        <w:tc>
          <w:tcPr>
            <w:tcW w:w="6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5"/>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63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2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r>
      <w:tr>
        <w:trPr>
          <w:trHeight w:val="22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r>
      <w:tr>
        <w:trPr>
          <w:trHeight w:val="239"/>
        </w:trPr>
        <w:tc>
          <w:tcPr>
            <w:tcW w:w="6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33,358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6" w:lineRule="exact"/>
        <w:rPr>
          <w:sz w:val="20"/>
          <w:szCs w:val="20"/>
          <w:color w:val="auto"/>
        </w:rPr>
      </w:pPr>
    </w:p>
    <w:p>
      <w:pPr>
        <w:ind w:right="540" w:firstLine="318"/>
        <w:spacing w:after="0" w:line="270" w:lineRule="auto"/>
        <w:rPr>
          <w:sz w:val="20"/>
          <w:szCs w:val="20"/>
          <w:color w:val="auto"/>
        </w:rPr>
      </w:pPr>
      <w:r>
        <w:rPr>
          <w:rFonts w:ascii="Arial" w:cs="Arial" w:eastAsia="Arial" w:hAnsi="Arial"/>
          <w:sz w:val="17"/>
          <w:szCs w:val="17"/>
          <w:color w:val="auto"/>
        </w:rPr>
        <w:t>Ordinary taxable income in Israel is subject to a corporate tax rate of 23%. However, the effective tax rate payable by a company that derives income from a Preferred Technological Enterprise (as discussed below) may be considerably less. Capital gains (which are not ‘Inflationary Surplus’, as described below) derived by an Israeli company are generally subject to the prevailing corporate tax rate.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for the Encouragement of Capital Investments, 1959</w:t>
      </w:r>
    </w:p>
    <w:p>
      <w:pPr>
        <w:spacing w:after="0" w:line="18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Law for the Encouragement of Capital Investments, 1959, generally referred to as the Investment Law, provides certain incentives for capital investments in production facilities (or other eligible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920" w:firstLine="318"/>
        <w:spacing w:after="0" w:line="280" w:lineRule="auto"/>
        <w:rPr>
          <w:sz w:val="20"/>
          <w:szCs w:val="20"/>
          <w:color w:val="auto"/>
        </w:rPr>
      </w:pPr>
      <w:r>
        <w:rPr>
          <w:rFonts w:ascii="Arial" w:cs="Arial" w:eastAsia="Arial" w:hAnsi="Arial"/>
          <w:sz w:val="17"/>
          <w:szCs w:val="17"/>
          <w:color w:val="auto"/>
        </w:rPr>
        <w:t>The Investment Law was significantly amended effective on April 1, 2005, January 1, 2011, and on January 1, 2017, or the 2017 Amendment. The 2017 Amendment introduces new benefits for Technological Enterprises, alongside the existing tax benefits.</w:t>
      </w:r>
    </w:p>
    <w:p>
      <w:pPr>
        <w:spacing w:after="0" w:line="127" w:lineRule="exact"/>
        <w:rPr>
          <w:sz w:val="20"/>
          <w:szCs w:val="20"/>
          <w:color w:val="auto"/>
        </w:rPr>
      </w:pPr>
    </w:p>
    <w:p>
      <w:pPr>
        <w:jc w:val="both"/>
        <w:ind w:right="180" w:firstLine="318"/>
        <w:spacing w:after="0" w:line="248" w:lineRule="auto"/>
        <w:rPr>
          <w:sz w:val="20"/>
          <w:szCs w:val="20"/>
          <w:color w:val="auto"/>
        </w:rPr>
      </w:pPr>
      <w:r>
        <w:rPr>
          <w:rFonts w:ascii="Arial" w:cs="Arial" w:eastAsia="Arial" w:hAnsi="Arial"/>
          <w:sz w:val="18"/>
          <w:szCs w:val="18"/>
          <w:color w:val="auto"/>
        </w:rPr>
        <w:t>The 2017 Amendment was enacted as part of the Economic Efficiency Law that was published on December 29, 2016, and is effective as of January 1, 2017. The 2017 Amendment included new tax benefits for “Technological Enterprises,” as described below, and is in addition to the other existing tax beneficial programs under the Investment Law.</w:t>
      </w:r>
    </w:p>
    <w:p>
      <w:pPr>
        <w:spacing w:after="0" w:line="15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2017 Amendment provides that a technology company satisfying certain conditions should qualify as a “Preferred Technology Enterprises,” or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54" w:lineRule="exact"/>
        <w:rPr>
          <w:sz w:val="20"/>
          <w:szCs w:val="20"/>
          <w:color w:val="auto"/>
        </w:rPr>
      </w:pPr>
    </w:p>
    <w:p>
      <w:pPr>
        <w:jc w:val="both"/>
        <w:ind w:right="180" w:firstLine="318"/>
        <w:spacing w:after="0" w:line="248" w:lineRule="auto"/>
        <w:rPr>
          <w:sz w:val="20"/>
          <w:szCs w:val="20"/>
          <w:color w:val="auto"/>
        </w:rPr>
      </w:pPr>
      <w:r>
        <w:rPr>
          <w:rFonts w:ascii="Arial" w:cs="Arial" w:eastAsia="Arial" w:hAnsi="Arial"/>
          <w:sz w:val="18"/>
          <w:szCs w:val="18"/>
          <w:color w:val="auto"/>
        </w:rPr>
        <w:t>We have not adopted the PTE status currently, but believe we are eligible for the PTE status in future tax years and have tax-effected our Israel deferred tax assets and liabilities at the appropriate PTE rates. Our subsidiaries are separately taxed under the domestic tax laws of the jurisdiction of incorporation of each entity.</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Profit (loss) before the provision for income taxes consisted of the following for the years ended December 31, 2021, 2020, and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9"/>
        </w:trPr>
        <w:tc>
          <w:tcPr>
            <w:tcW w:w="6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179"/>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r>
      <w:tr>
        <w:trPr>
          <w:trHeight w:val="23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center"/>
        <w:ind w:right="100"/>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provision for income taxes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3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200"/>
        </w:trPr>
        <w:tc>
          <w:tcPr>
            <w:tcW w:w="3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940" w:type="dxa"/>
            <w:vAlign w:val="bottom"/>
            <w:gridSpan w:val="2"/>
          </w:tcPr>
          <w:p>
            <w:pPr>
              <w:ind w:left="240"/>
              <w:spacing w:after="0"/>
              <w:rPr>
                <w:sz w:val="20"/>
                <w:szCs w:val="20"/>
                <w:color w:val="auto"/>
              </w:rPr>
            </w:pPr>
            <w:r>
              <w:rPr>
                <w:rFonts w:ascii="Arial" w:cs="Arial" w:eastAsia="Arial" w:hAnsi="Arial"/>
                <w:sz w:val="18"/>
                <w:szCs w:val="18"/>
                <w:color w:val="auto"/>
              </w:rPr>
              <w:t>Israel</w:t>
            </w: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40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r>
      <w:tr>
        <w:trPr>
          <w:trHeight w:val="28"/>
        </w:trPr>
        <w:tc>
          <w:tcPr>
            <w:tcW w:w="3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5"/>
        </w:trPr>
        <w:tc>
          <w:tcPr>
            <w:tcW w:w="5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r>
      <w:tr>
        <w:trPr>
          <w:trHeight w:val="231"/>
        </w:trPr>
        <w:tc>
          <w:tcPr>
            <w:tcW w:w="32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Total current income tax expense</w:t>
            </w:r>
          </w:p>
        </w:tc>
        <w:tc>
          <w:tcPr>
            <w:tcW w:w="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940" w:type="dxa"/>
            <w:vAlign w:val="bottom"/>
            <w:gridSpan w:val="2"/>
          </w:tcPr>
          <w:p>
            <w:pPr>
              <w:ind w:left="240"/>
              <w:spacing w:after="0"/>
              <w:rPr>
                <w:sz w:val="20"/>
                <w:szCs w:val="20"/>
                <w:color w:val="auto"/>
              </w:rPr>
            </w:pPr>
            <w:r>
              <w:rPr>
                <w:rFonts w:ascii="Arial" w:cs="Arial" w:eastAsia="Arial" w:hAnsi="Arial"/>
                <w:sz w:val="18"/>
                <w:szCs w:val="18"/>
                <w:color w:val="auto"/>
              </w:rPr>
              <w:t>Israel</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8"/>
        </w:trPr>
        <w:tc>
          <w:tcPr>
            <w:tcW w:w="3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5"/>
        </w:trPr>
        <w:tc>
          <w:tcPr>
            <w:tcW w:w="5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r>
      <w:tr>
        <w:trPr>
          <w:trHeight w:val="231"/>
        </w:trPr>
        <w:tc>
          <w:tcPr>
            <w:tcW w:w="32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Total deferred income tax expense</w:t>
            </w:r>
          </w:p>
        </w:tc>
        <w:tc>
          <w:tcPr>
            <w:tcW w:w="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1,433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3"/>
        </w:trPr>
        <w:tc>
          <w:tcPr>
            <w:tcW w:w="32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provision for income taxes</w:t>
            </w:r>
          </w:p>
        </w:tc>
        <w:tc>
          <w:tcPr>
            <w:tcW w:w="3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1,558</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4"/>
                <w:szCs w:val="24"/>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6"/>
        </w:trPr>
        <w:tc>
          <w:tcPr>
            <w:tcW w:w="320" w:type="dxa"/>
            <w:vAlign w:val="bottom"/>
          </w:tcPr>
          <w:p>
            <w:pPr>
              <w:spacing w:after="0"/>
              <w:rPr>
                <w:sz w:val="24"/>
                <w:szCs w:val="24"/>
                <w:color w:val="auto"/>
              </w:rPr>
            </w:pPr>
          </w:p>
        </w:tc>
        <w:tc>
          <w:tcPr>
            <w:tcW w:w="7980" w:type="dxa"/>
            <w:vAlign w:val="bottom"/>
            <w:gridSpan w:val="8"/>
          </w:tcPr>
          <w:p>
            <w:pPr>
              <w:spacing w:after="0"/>
              <w:rPr>
                <w:sz w:val="20"/>
                <w:szCs w:val="20"/>
                <w:color w:val="auto"/>
              </w:rPr>
            </w:pPr>
            <w:r>
              <w:rPr>
                <w:rFonts w:ascii="Arial" w:cs="Arial" w:eastAsia="Arial" w:hAnsi="Arial"/>
                <w:sz w:val="18"/>
                <w:szCs w:val="18"/>
                <w:color w:val="auto"/>
                <w:w w:val="98"/>
              </w:rPr>
              <w:t>A reconciliation of our statutory income tax expense to our effective income tax provision is as follows: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79"/>
        </w:trPr>
        <w:tc>
          <w:tcPr>
            <w:tcW w:w="3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r>
      <w:tr>
        <w:trPr>
          <w:trHeight w:val="200"/>
        </w:trPr>
        <w:tc>
          <w:tcPr>
            <w:tcW w:w="3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320" w:type="dxa"/>
            <w:vAlign w:val="bottom"/>
          </w:tcPr>
          <w:p>
            <w:pPr>
              <w:spacing w:after="0"/>
              <w:rPr>
                <w:sz w:val="20"/>
                <w:szCs w:val="20"/>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Israel tax benefit at statutory rate</w:t>
            </w:r>
          </w:p>
        </w:tc>
        <w:tc>
          <w:tcPr>
            <w:tcW w:w="7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5"/>
        </w:trPr>
        <w:tc>
          <w:tcPr>
            <w:tcW w:w="3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Preferred enterprise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320" w:type="dxa"/>
            <w:vAlign w:val="bottom"/>
          </w:tcPr>
          <w:p>
            <w:pPr>
              <w:spacing w:after="0"/>
              <w:rPr>
                <w:sz w:val="19"/>
                <w:szCs w:val="19"/>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rate differential</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5"/>
        </w:trPr>
        <w:tc>
          <w:tcPr>
            <w:tcW w:w="3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26"/>
        </w:trPr>
        <w:tc>
          <w:tcPr>
            <w:tcW w:w="320" w:type="dxa"/>
            <w:vAlign w:val="bottom"/>
          </w:tcPr>
          <w:p>
            <w:pPr>
              <w:spacing w:after="0"/>
              <w:rPr>
                <w:sz w:val="19"/>
                <w:szCs w:val="19"/>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revaluation</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3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Tranche right revaluation</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20" w:type="dxa"/>
            <w:vAlign w:val="bottom"/>
          </w:tcPr>
          <w:p>
            <w:pPr>
              <w:spacing w:after="0"/>
              <w:rPr>
                <w:sz w:val="19"/>
                <w:szCs w:val="19"/>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Prior period adjustments</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3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Permanent differences</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320" w:type="dxa"/>
            <w:vAlign w:val="bottom"/>
          </w:tcPr>
          <w:p>
            <w:pPr>
              <w:spacing w:after="0"/>
              <w:rPr>
                <w:sz w:val="19"/>
                <w:szCs w:val="19"/>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ASC 606</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3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Uncertain tax position</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320" w:type="dxa"/>
            <w:vAlign w:val="bottom"/>
          </w:tcPr>
          <w:p>
            <w:pPr>
              <w:spacing w:after="0"/>
              <w:rPr>
                <w:sz w:val="19"/>
                <w:szCs w:val="19"/>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9"/>
        </w:trPr>
        <w:tc>
          <w:tcPr>
            <w:tcW w:w="320" w:type="dxa"/>
            <w:vAlign w:val="bottom"/>
          </w:tcPr>
          <w:p>
            <w:pPr>
              <w:spacing w:after="0"/>
              <w:rPr>
                <w:sz w:val="19"/>
                <w:szCs w:val="19"/>
                <w:color w:val="auto"/>
              </w:rPr>
            </w:pPr>
          </w:p>
        </w:tc>
        <w:tc>
          <w:tcPr>
            <w:tcW w:w="5620" w:type="dxa"/>
            <w:vAlign w:val="bottom"/>
          </w:tcPr>
          <w:p>
            <w:pPr>
              <w:ind w:left="5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7"/>
          <w:szCs w:val="17"/>
          <w:color w:val="auto"/>
        </w:rPr>
        <w:t>Our effective tax rate was (0.88)% for the year ended December 31, 2021, compared to an effective tax rate of (10)% for the year ended December 31, 2020 and (3)% for the year ended December 31, 2019. The effective tax rates for the periods presented are primarily comprised of Israel statutory taxes, warrant revaluation, share-based compensation expense, foreign taxes, and change in valuation allowance position. The difference in the effective tax rate of (0.88)% for the year ended December 31, 2021 as compared to the effective tax rate of (10)% for the year ended December 31, 2020 and (3)% for the year ended December 31, 2019 was related to movement of warrant revaluation and non-deductible share-based compensation in Israel and in our U.S. subsidiary which was included as part of the foreign rate differential.</w:t>
      </w:r>
    </w:p>
    <w:p>
      <w:pPr>
        <w:spacing w:after="0" w:line="141" w:lineRule="exact"/>
        <w:rPr>
          <w:sz w:val="20"/>
          <w:szCs w:val="20"/>
          <w:color w:val="auto"/>
        </w:rPr>
      </w:pPr>
    </w:p>
    <w:p>
      <w:pPr>
        <w:jc w:val="both"/>
        <w:ind w:right="400" w:firstLine="318"/>
        <w:spacing w:after="0" w:line="248" w:lineRule="auto"/>
        <w:rPr>
          <w:sz w:val="20"/>
          <w:szCs w:val="20"/>
          <w:color w:val="auto"/>
        </w:rPr>
      </w:pPr>
      <w:r>
        <w:rPr>
          <w:rFonts w:ascii="Arial" w:cs="Arial" w:eastAsia="Arial" w:hAnsi="Arial"/>
          <w:sz w:val="18"/>
          <w:szCs w:val="18"/>
          <w:color w:val="auto"/>
        </w:rPr>
        <w:t>The provision for income taxes was $1.6 million, $1.1 million, and $0.5 million for the years ended December 31, 2021, 2020, and 2019, respectively. The provision for income taxes for the year ended December 31, 2021 consisted primarily of income taxes related to the United States and other foreign jurisdictions in which we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significant components of our deferred tax assets and liabilities: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00"/>
        </w:trPr>
        <w:tc>
          <w:tcPr>
            <w:tcW w:w="6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2,619</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 to GAAP adjustments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Net operating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Vacation and convalescence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Bad debts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19"/>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r>
      <w:tr>
        <w:trPr>
          <w:trHeight w:val="22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(8,699)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05"/>
        </w:trPr>
        <w:tc>
          <w:tcPr>
            <w:tcW w:w="6320" w:type="dxa"/>
            <w:vAlign w:val="bottom"/>
          </w:tcPr>
          <w:p>
            <w:pPr>
              <w:ind w:left="20"/>
              <w:spacing w:after="0" w:line="204" w:lineRule="exact"/>
              <w:rPr>
                <w:sz w:val="20"/>
                <w:szCs w:val="20"/>
                <w:color w:val="auto"/>
              </w:rPr>
            </w:pPr>
            <w:r>
              <w:rPr>
                <w:rFonts w:ascii="Arial" w:cs="Arial" w:eastAsia="Arial" w:hAnsi="Arial"/>
                <w:sz w:val="18"/>
                <w:szCs w:val="18"/>
                <w:color w:val="auto"/>
              </w:rPr>
              <w:t>Deferred tax liabilities: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contract acquisition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2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Software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8"/>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19"/>
        </w:trPr>
        <w:tc>
          <w:tcPr>
            <w:tcW w:w="632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(2,688)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6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As of December 31, 2021 and 2020, we had Israel net operating loss, or NOL, carryforwards of approximately $37.4 million and $5.1 million, respectively, which do not expire. As of December 31, 2021 and 2020, we had U.S. federal NOL carryforwards of approximately $9.8 million and $0.1 million, respectively, which expire in 2041 and 2027 respectively. As of December 31, 2021, we had U.S. state NOL carryforwards of approximately 27.4 million, of which 26.3 million expires between 2027 and 2041, and the remaining 1.1 million do not expire. As of December 31, 2020, we had U.S. state NOL carryforwards of approximately $4.8 million, of which $1.5 million expires in 2027, $0.5 million expires in 2029, $2.3 million expires in 2030, and the remaining $0.5 million do not expire.</w:t>
      </w:r>
    </w:p>
    <w:p>
      <w:pPr>
        <w:spacing w:after="0" w:line="158"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During the years ended December 31, 2021, 2020, and 2019 the net change in the valuation allowance against deferred tax assets amounted to an increase of $4.4 million, an increase of $0.2 million, and a decrease of $0.1 million, respectively. The increase in the valuation allowance during the year ended December 31, 2021, was largely attributable to the generation of Israel, and certain US state net operating loss carryforwards and the establishment of a valuation allowance against certain US state deferred tax assets. The increase in the valuation allowance during the year ended December 31, 2020, was largely attributable to the generation of Israel NOLs. The decrease in the valuation allowance during the year ended December 31, 2019, was largely attributable to the release of the valuation allowance on the U.S. federal net deferred tax assets.</w:t>
      </w:r>
    </w:p>
    <w:p>
      <w:pPr>
        <w:spacing w:after="0" w:line="158"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December 31, 2021 and 2020, we maintained a full valuation allowance on Israel net deferred tax assets as we believe, after weighing both the positive and negative evidence, that it is more likely than not that these deferred tax assets will not be realized.</w:t>
      </w:r>
    </w:p>
    <w:p>
      <w:pPr>
        <w:spacing w:after="0" w:line="15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Internal Revenue Code of 1986, as amended, imposes restrictions on the utilization of NOLs in the event of an “ownership change” of a corporation. Accordingly, a company’s ability to use NOLs may be limited as prescribed under Internal Revenue Code Section 382, or IRC Section 382. Events which may cause limitations in the amount of the NOLs that we may use in any one year include, but are not limited to, a cumulative ownership change of more than 50% over a three-year period. Utilization of the U.S. federal and state NOLs may be subject to substantial annual limitation due to the ownership change limitations provided by the IRC Section 382 and similar state provisions. We have completed our evaluation of NOL utilization limitations under Internal Revenue Code, as amended, or the Code, Section 382, change of ownership rules, and have found that the NOLs would not be limited as to the amount that could be used in the current tax year.</w:t>
      </w:r>
    </w:p>
    <w:p>
      <w:pPr>
        <w:spacing w:after="0" w:line="158"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We have identified unrecognized tax benefits or uncertain tax positions. There has been a liability on uncertain tax positions recorded on our audited consolidated financial statements as of December 31, 2021 and 2020,. We do not expect that our assessment regarding unrecognized tax benefits and uncertain tax positions will materially change over the following 12 months.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balance of total unrecognized tax position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w w:val="99"/>
              </w:rPr>
              <w:t>Unrecognized Tax</w:t>
            </w:r>
          </w:p>
        </w:tc>
      </w:tr>
      <w:tr>
        <w:trPr>
          <w:trHeight w:val="172"/>
        </w:trPr>
        <w:tc>
          <w:tcPr>
            <w:tcW w:w="9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Benefits</w:t>
            </w:r>
          </w:p>
        </w:tc>
      </w:tr>
      <w:tr>
        <w:trPr>
          <w:trHeight w:val="179"/>
        </w:trPr>
        <w:tc>
          <w:tcPr>
            <w:tcW w:w="9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ind w:right="76"/>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6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5"/>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Balance – December 31, 2019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6"/>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5"/>
        </w:trPr>
        <w:tc>
          <w:tcPr>
            <w:tcW w:w="966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3,885</w:t>
            </w:r>
          </w:p>
        </w:tc>
      </w:tr>
      <w:tr>
        <w:trPr>
          <w:trHeight w:val="225"/>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660" w:type="dxa"/>
            <w:vAlign w:val="bottom"/>
          </w:tcPr>
          <w:p>
            <w:pPr>
              <w:ind w:left="20"/>
              <w:spacing w:after="0"/>
              <w:rPr>
                <w:sz w:val="20"/>
                <w:szCs w:val="20"/>
                <w:color w:val="auto"/>
              </w:rPr>
            </w:pPr>
            <w:r>
              <w:rPr>
                <w:rFonts w:ascii="Arial" w:cs="Arial" w:eastAsia="Arial" w:hAnsi="Arial"/>
                <w:sz w:val="18"/>
                <w:szCs w:val="18"/>
                <w:color w:val="auto"/>
              </w:rPr>
              <w:t>Balance –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r>
      <w:tr>
        <w:trPr>
          <w:trHeight w:val="20"/>
        </w:trPr>
        <w:tc>
          <w:tcPr>
            <w:tcW w:w="9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As of December 31, 2021 and 2020, the total amount of gross unrecognized tax benefits was $4.1 million, and $0.2 million, respectively, which, if recognized, would affect our effective tax rate. We have elected to include interest and penalties as a component of tax expense. As of December 31, 2021 and 2020, we have accumulated $10 thousand, and $5 thousand, respectively, in both interest and penalties associated with uncertain tax positions. We do not expect unrecognized tax benefits to change significantly within the next twelve months.</w:t>
      </w:r>
    </w:p>
    <w:p>
      <w:pPr>
        <w:spacing w:after="0" w:line="155" w:lineRule="exact"/>
        <w:rPr>
          <w:sz w:val="20"/>
          <w:szCs w:val="20"/>
          <w:color w:val="auto"/>
        </w:rPr>
      </w:pPr>
    </w:p>
    <w:p>
      <w:pPr>
        <w:jc w:val="both"/>
        <w:ind w:right="140" w:firstLine="318"/>
        <w:spacing w:after="0" w:line="248" w:lineRule="auto"/>
        <w:rPr>
          <w:sz w:val="20"/>
          <w:szCs w:val="20"/>
          <w:color w:val="auto"/>
        </w:rPr>
      </w:pPr>
      <w:r>
        <w:rPr>
          <w:rFonts w:ascii="Arial" w:cs="Arial" w:eastAsia="Arial" w:hAnsi="Arial"/>
          <w:sz w:val="18"/>
          <w:szCs w:val="18"/>
          <w:color w:val="auto"/>
        </w:rPr>
        <w:t>We are not currently under audit for income taxes. As of December 31, 2021, tax years beginning with the year ended December 31, 2016 remain subject to examination by the Israel tax authorities and tax years beginning with the year ended December 31, 2017 remain subject to examination by the Internal Revenue Service and certain U.S. state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Profit (Loss) Per Share Attributable to Ordinary Shareholders</w:t>
      </w:r>
    </w:p>
    <w:p>
      <w:pPr>
        <w:spacing w:after="0" w:line="186"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The following table sets forth the computation of basic and diluted net profit (loss) per share attributable to ordinary shareholders for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Class A</w:t>
            </w: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Class B</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240" w:type="dxa"/>
            <w:vAlign w:val="bottom"/>
          </w:tcPr>
          <w:p>
            <w:pPr>
              <w:ind w:left="240"/>
              <w:spacing w:after="0" w:line="185" w:lineRule="exact"/>
              <w:rPr>
                <w:sz w:val="20"/>
                <w:szCs w:val="20"/>
                <w:color w:val="auto"/>
              </w:rPr>
            </w:pPr>
            <w:r>
              <w:rPr>
                <w:rFonts w:ascii="Arial" w:cs="Arial" w:eastAsia="Arial" w:hAnsi="Arial"/>
                <w:sz w:val="18"/>
                <w:szCs w:val="18"/>
                <w:color w:val="auto"/>
              </w:rPr>
              <w:t>Net profit (loss) attributable to ordinary</w:t>
            </w:r>
          </w:p>
        </w:tc>
        <w:tc>
          <w:tcPr>
            <w:tcW w:w="34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(90,677)</w:t>
            </w: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(88,208)</w:t>
            </w:r>
          </w:p>
        </w:tc>
        <w:tc>
          <w:tcPr>
            <w:tcW w:w="8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191"/>
        </w:trPr>
        <w:tc>
          <w:tcPr>
            <w:tcW w:w="4240" w:type="dxa"/>
            <w:vAlign w:val="bottom"/>
          </w:tcPr>
          <w:p>
            <w:pPr>
              <w:ind w:left="400"/>
              <w:spacing w:after="0" w:line="187" w:lineRule="exact"/>
              <w:rPr>
                <w:sz w:val="20"/>
                <w:szCs w:val="20"/>
                <w:color w:val="auto"/>
              </w:rPr>
            </w:pPr>
            <w:r>
              <w:rPr>
                <w:rFonts w:ascii="Arial" w:cs="Arial" w:eastAsia="Arial" w:hAnsi="Arial"/>
                <w:sz w:val="18"/>
                <w:szCs w:val="18"/>
                <w:color w:val="auto"/>
              </w:rPr>
              <w:t>shareholders, basic and diluted</w:t>
            </w:r>
          </w:p>
        </w:tc>
        <w:tc>
          <w:tcPr>
            <w:tcW w:w="3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24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Weighted-average shares used in computing net</w:t>
            </w: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40"/>
              <w:spacing w:after="0" w:line="172" w:lineRule="exact"/>
              <w:rPr>
                <w:sz w:val="20"/>
                <w:szCs w:val="20"/>
                <w:color w:val="auto"/>
              </w:rPr>
            </w:pPr>
            <w:r>
              <w:rPr>
                <w:rFonts w:ascii="Arial" w:cs="Arial" w:eastAsia="Arial" w:hAnsi="Arial"/>
                <w:sz w:val="18"/>
                <w:szCs w:val="18"/>
                <w:color w:val="auto"/>
              </w:rPr>
              <w:t>profit (loss) per share</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400"/>
              <w:spacing w:after="0" w:line="172" w:lineRule="exact"/>
              <w:rPr>
                <w:sz w:val="20"/>
                <w:szCs w:val="20"/>
                <w:color w:val="auto"/>
              </w:rPr>
            </w:pPr>
            <w:r>
              <w:rPr>
                <w:rFonts w:ascii="Arial" w:cs="Arial" w:eastAsia="Arial" w:hAnsi="Arial"/>
                <w:sz w:val="18"/>
                <w:szCs w:val="18"/>
                <w:color w:val="auto"/>
              </w:rPr>
              <w:t>attributable to ordinary shareholders, basic and</w:t>
            </w:r>
          </w:p>
        </w:tc>
        <w:tc>
          <w:tcPr>
            <w:tcW w:w="3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38,757,558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37,702,067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14,022,788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13,597,794</w:t>
            </w:r>
          </w:p>
        </w:tc>
        <w:tc>
          <w:tcPr>
            <w:tcW w:w="0" w:type="dxa"/>
            <w:vAlign w:val="bottom"/>
          </w:tcPr>
          <w:p>
            <w:pPr>
              <w:spacing w:after="0"/>
              <w:rPr>
                <w:sz w:val="1"/>
                <w:szCs w:val="1"/>
                <w:color w:val="auto"/>
              </w:rPr>
            </w:pPr>
          </w:p>
        </w:tc>
      </w:tr>
      <w:tr>
        <w:trPr>
          <w:trHeight w:val="206"/>
        </w:trPr>
        <w:tc>
          <w:tcPr>
            <w:tcW w:w="4240" w:type="dxa"/>
            <w:vAlign w:val="bottom"/>
            <w:tcBorders>
              <w:bottom w:val="single" w:sz="8" w:color="CCEEFF"/>
            </w:tcBorders>
            <w:shd w:val="clear" w:color="auto" w:fill="CCEEFF"/>
          </w:tcPr>
          <w:p>
            <w:pPr>
              <w:ind w:left="400"/>
              <w:spacing w:after="0" w:line="187"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rPr>
              <w:t>Net profit (loss) per share attributable to ordinary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240" w:type="dxa"/>
            <w:vAlign w:val="bottom"/>
            <w:vMerge w:val="continue"/>
          </w:tcPr>
          <w:p>
            <w:pPr>
              <w:spacing w:after="0"/>
              <w:rPr>
                <w:sz w:val="11"/>
                <w:szCs w:val="11"/>
                <w:color w:val="auto"/>
              </w:rPr>
            </w:pPr>
          </w:p>
        </w:tc>
        <w:tc>
          <w:tcPr>
            <w:tcW w:w="34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1"/>
        </w:trPr>
        <w:tc>
          <w:tcPr>
            <w:tcW w:w="4240" w:type="dxa"/>
            <w:vAlign w:val="bottom"/>
          </w:tcPr>
          <w:p>
            <w:pPr>
              <w:ind w:left="180"/>
              <w:spacing w:after="0" w:line="187" w:lineRule="exact"/>
              <w:rPr>
                <w:sz w:val="20"/>
                <w:szCs w:val="20"/>
                <w:color w:val="auto"/>
              </w:rPr>
            </w:pPr>
            <w:r>
              <w:rPr>
                <w:rFonts w:ascii="Arial" w:cs="Arial" w:eastAsia="Arial" w:hAnsi="Arial"/>
                <w:sz w:val="18"/>
                <w:szCs w:val="18"/>
                <w:color w:val="auto"/>
              </w:rPr>
              <w:t>shareholders, basic and diluted</w:t>
            </w:r>
          </w:p>
        </w:tc>
        <w:tc>
          <w:tcPr>
            <w:tcW w:w="3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40" w:firstLine="318"/>
        <w:spacing w:after="0" w:line="247" w:lineRule="auto"/>
        <w:rPr>
          <w:sz w:val="20"/>
          <w:szCs w:val="20"/>
          <w:color w:val="auto"/>
        </w:rPr>
      </w:pPr>
      <w:r>
        <w:rPr>
          <w:rFonts w:ascii="Arial" w:cs="Arial" w:eastAsia="Arial" w:hAnsi="Arial"/>
          <w:sz w:val="18"/>
          <w:szCs w:val="18"/>
          <w:color w:val="auto"/>
        </w:rPr>
        <w:t>Basic and diluted net profit (loss) per share attributable to ordinary shareholders are the same for each class of ordinary shares as they are entitled to the same liquidation and dividend rights. The weighted-average potential ordinary shares that were excluded from the computation of diluted net profit (loss) per share attributable to ordinary shareholders for the periods presented because including them would have been anti-dilutive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Borders>
              <w:bottom w:val="single" w:sz="8" w:color="auto"/>
            </w:tcBorders>
          </w:tcPr>
          <w:p>
            <w:pPr>
              <w:spacing w:after="0"/>
              <w:rPr>
                <w:sz w:val="16"/>
                <w:szCs w:val="16"/>
                <w:color w:val="auto"/>
              </w:rPr>
            </w:pPr>
          </w:p>
        </w:tc>
      </w:tr>
      <w:tr>
        <w:trPr>
          <w:trHeight w:val="179"/>
        </w:trPr>
        <w:tc>
          <w:tcPr>
            <w:tcW w:w="424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r>
      <w:tr>
        <w:trPr>
          <w:trHeight w:val="179"/>
        </w:trPr>
        <w:tc>
          <w:tcPr>
            <w:tcW w:w="4240" w:type="dxa"/>
            <w:vAlign w:val="bottom"/>
            <w:shd w:val="clear" w:color="auto" w:fill="CCEEFF"/>
          </w:tcPr>
          <w:p>
            <w:pPr>
              <w:spacing w:after="0"/>
              <w:rPr>
                <w:sz w:val="15"/>
                <w:szCs w:val="15"/>
                <w:color w:val="auto"/>
              </w:rPr>
            </w:pPr>
          </w:p>
        </w:tc>
        <w:tc>
          <w:tcPr>
            <w:tcW w:w="2120" w:type="dxa"/>
            <w:vAlign w:val="bottom"/>
            <w:gridSpan w:val="3"/>
            <w:shd w:val="clear" w:color="auto" w:fill="CCEEFF"/>
          </w:tcPr>
          <w:p>
            <w:pPr>
              <w:jc w:val="right"/>
              <w:ind w:right="1020"/>
              <w:spacing w:after="0"/>
              <w:rPr>
                <w:sz w:val="20"/>
                <w:szCs w:val="20"/>
                <w:color w:val="auto"/>
              </w:rPr>
            </w:pPr>
            <w:r>
              <w:rPr>
                <w:rFonts w:ascii="Arial" w:cs="Arial" w:eastAsia="Arial" w:hAnsi="Arial"/>
                <w:sz w:val="14"/>
                <w:szCs w:val="14"/>
                <w:b w:val="1"/>
                <w:bCs w:val="1"/>
                <w:color w:val="auto"/>
              </w:rPr>
              <w:t>Class A</w:t>
            </w:r>
          </w:p>
        </w:tc>
        <w:tc>
          <w:tcPr>
            <w:tcW w:w="1340" w:type="dxa"/>
            <w:vAlign w:val="bottom"/>
            <w:shd w:val="clear" w:color="auto" w:fill="CCEEFF"/>
          </w:tcPr>
          <w:p>
            <w:pPr>
              <w:jc w:val="right"/>
              <w:ind w:right="517"/>
              <w:spacing w:after="0"/>
              <w:rPr>
                <w:sz w:val="20"/>
                <w:szCs w:val="20"/>
                <w:color w:val="auto"/>
              </w:rPr>
            </w:pPr>
            <w:r>
              <w:rPr>
                <w:rFonts w:ascii="Arial" w:cs="Arial" w:eastAsia="Arial" w:hAnsi="Arial"/>
                <w:sz w:val="14"/>
                <w:szCs w:val="14"/>
                <w:b w:val="1"/>
                <w:bCs w:val="1"/>
                <w:color w:val="auto"/>
              </w:rPr>
              <w:t>Class B</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97"/>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97"/>
              <w:spacing w:after="0"/>
              <w:rPr>
                <w:sz w:val="20"/>
                <w:szCs w:val="20"/>
                <w:color w:val="auto"/>
              </w:rPr>
            </w:pPr>
            <w:r>
              <w:rPr>
                <w:rFonts w:ascii="Arial" w:cs="Arial" w:eastAsia="Arial" w:hAnsi="Arial"/>
                <w:sz w:val="14"/>
                <w:szCs w:val="14"/>
                <w:b w:val="1"/>
                <w:bCs w:val="1"/>
                <w:color w:val="auto"/>
              </w:rPr>
              <w:t>Ordinary Shares</w:t>
            </w:r>
          </w:p>
        </w:tc>
      </w:tr>
      <w:tr>
        <w:trPr>
          <w:trHeight w:val="218"/>
        </w:trPr>
        <w:tc>
          <w:tcPr>
            <w:tcW w:w="4240" w:type="dxa"/>
            <w:vAlign w:val="bottom"/>
          </w:tcPr>
          <w:p>
            <w:pPr>
              <w:ind w:left="20"/>
              <w:spacing w:after="0"/>
              <w:rPr>
                <w:sz w:val="20"/>
                <w:szCs w:val="20"/>
                <w:color w:val="auto"/>
              </w:rPr>
            </w:pPr>
            <w:r>
              <w:rPr>
                <w:rFonts w:ascii="Arial" w:cs="Arial" w:eastAsia="Arial" w:hAnsi="Arial"/>
                <w:sz w:val="18"/>
                <w:szCs w:val="18"/>
                <w:color w:val="auto"/>
              </w:rPr>
              <w:t>Convertible preferred shares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17,817,201</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35,634,404</w:t>
            </w:r>
          </w:p>
        </w:tc>
        <w:tc>
          <w:tcPr>
            <w:tcW w:w="8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28,217,680</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24,912,627</w:t>
            </w:r>
          </w:p>
        </w:tc>
      </w:tr>
      <w:tr>
        <w:trPr>
          <w:trHeight w:val="226"/>
        </w:trPr>
        <w:tc>
          <w:tcPr>
            <w:tcW w:w="4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Warrants to purchase share-based awards</w:t>
            </w:r>
            <w:r>
              <w:rPr>
                <w:rFonts w:ascii="Arial" w:cs="Arial" w:eastAsia="Arial" w:hAnsi="Arial"/>
                <w:sz w:val="22"/>
                <w:szCs w:val="22"/>
                <w:color w:val="auto"/>
                <w:vertAlign w:val="superscript"/>
              </w:rPr>
              <w:t>(1)(2)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1,858,467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680,542</w:t>
            </w: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Outstanding share options</w:t>
            </w:r>
          </w:p>
        </w:tc>
        <w:tc>
          <w:tcPr>
            <w:tcW w:w="1680" w:type="dxa"/>
            <w:vAlign w:val="bottom"/>
          </w:tcPr>
          <w:p>
            <w:pPr>
              <w:jc w:val="right"/>
              <w:spacing w:after="0"/>
              <w:rPr>
                <w:sz w:val="20"/>
                <w:szCs w:val="20"/>
                <w:color w:val="auto"/>
              </w:rPr>
            </w:pPr>
            <w:r>
              <w:rPr>
                <w:rFonts w:ascii="Arial" w:cs="Arial" w:eastAsia="Arial" w:hAnsi="Arial"/>
                <w:sz w:val="18"/>
                <w:szCs w:val="18"/>
                <w:color w:val="auto"/>
              </w:rPr>
              <w:t>12,239,441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5,985,236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5,687,851</w:t>
            </w: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1,562,388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1,965,604</w:t>
            </w:r>
          </w:p>
        </w:tc>
        <w:tc>
          <w:tcPr>
            <w:tcW w:w="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240" w:type="dxa"/>
            <w:vAlign w:val="bottom"/>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33,107,849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37,954,251</w:t>
            </w:r>
          </w:p>
        </w:tc>
        <w:tc>
          <w:tcPr>
            <w:tcW w:w="8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36,061,383</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31,281,020</w:t>
            </w:r>
          </w:p>
        </w:tc>
      </w:tr>
      <w:tr>
        <w:trPr>
          <w:trHeight w:val="20"/>
        </w:trPr>
        <w:tc>
          <w:tcPr>
            <w:tcW w:w="4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ind w:left="320" w:right="20" w:hanging="314"/>
        <w:spacing w:after="0" w:line="239" w:lineRule="auto"/>
        <w:tabs>
          <w:tab w:leader="none" w:pos="3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Prior to IPO, assumes the Series B/C convertible preferred share warrants are exercised into Series B convertible preferred shares. Prior to May 4, 2021, should the holder elect to exercise into Series C convertible preferred shares, total weighted-average potential ordinary shares that were excluded from the computation of diluted net profit (loss) per share attributable to ordinary shareholders were 70,110,425, 35,744,158, and 30,963,795, for the years ended December 31, 2021, 2020, and 2019, respectively. On May 4, 2021, the Series B/C convertible preferred share warrants were amended and restated to, among other things, remove the holder's Series B/C convertible preferred share election right. As a result of the amendment, the shares issuable upon exercise of the Series B/C convertible preferred share warrant shall solely be Series B convertible preferred shares. Upon completion of the IPO during the third quarter of 2021, the Series B/C convertible preferred share warrants automatically converted to warrants to purchase ordinary shares.</w:t>
      </w:r>
    </w:p>
    <w:p>
      <w:pPr>
        <w:spacing w:after="0" w:line="149" w:lineRule="exact"/>
        <w:rPr>
          <w:rFonts w:ascii="Arial" w:cs="Arial" w:eastAsia="Arial" w:hAnsi="Arial"/>
          <w:sz w:val="14"/>
          <w:szCs w:val="14"/>
          <w:color w:val="auto"/>
        </w:rPr>
      </w:pPr>
    </w:p>
    <w:p>
      <w:pPr>
        <w:ind w:left="320" w:right="20" w:hanging="314"/>
        <w:spacing w:after="0" w:line="250" w:lineRule="auto"/>
        <w:tabs>
          <w:tab w:leader="none" w:pos="307"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the warrants to purchase ordinary shares as a result of the conversion of Series B/C convertible preferred share warrants discussed in (1) above, and warrants issued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8"/>
          <w:szCs w:val="18"/>
          <w:b w:val="1"/>
          <w:bCs w:val="1"/>
          <w:color w:val="auto"/>
        </w:rPr>
        <w:t>RISKIFIED LTD.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18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have a defined-contribution plan in the United States intended to qualify under Section 401 of the Internal Revenue Code, or the 401(k) Plan. The 401(k) Plan covers substantially all employees who meet minimum age and service requirements and allows participants to defer a portion of their annual compensation on a pre-tax basis. We offer a safe harbor matching contribution in an amount equal to 100% of participating employee contributions to the plan up to 4% of the employee’s eligible compensation. During the years ended December 31, 2021, 2020, and 2019, we recorded $0.8 million, $0.6 million, and $0.3 million, respectively, of expenses related to the 401(k)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Severance Pay</w:t>
      </w:r>
    </w:p>
    <w:p>
      <w:pPr>
        <w:spacing w:after="0" w:line="1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Pursuant to Israel’s Severance Pay Law, Israeli employees are entitled to severance pay equal to one month’s salary for each year of employment, or a portion thereof. We have elected to include our employees in Israel under Section 14 of the Severance Pay Law, under which these employees are entitled only to monthly deposits made in their name with insurance companies, at a rate of 8.33% of their monthly salary. These payments release us from any future obligation under the Israeli Severance Pay Law to make severance payments in respect of those employees; therefore, any liability for severance pay due to these employees, and the deposits under Section 14 are not recorded as an asset in the consolidated balance sheets. During the years ended December 31, 2021, 2020, and 2019, we recorded $3.8 million, $2.7 million and $1.9 million, respectively, in severance expenses related to these employees.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68" w:lineRule="exact"/>
        <w:rPr>
          <w:sz w:val="20"/>
          <w:szCs w:val="20"/>
          <w:color w:val="auto"/>
        </w:rPr>
      </w:pPr>
    </w:p>
    <w:p>
      <w:pPr>
        <w:ind w:right="980" w:firstLine="318"/>
        <w:spacing w:after="0" w:line="272" w:lineRule="auto"/>
        <w:rPr>
          <w:sz w:val="20"/>
          <w:szCs w:val="20"/>
          <w:color w:val="auto"/>
        </w:rPr>
      </w:pPr>
      <w:r>
        <w:rPr>
          <w:rFonts w:ascii="Arial" w:cs="Arial" w:eastAsia="Arial" w:hAnsi="Arial"/>
          <w:sz w:val="18"/>
          <w:szCs w:val="18"/>
          <w:color w:val="auto"/>
        </w:rPr>
        <w:t>For a description of related party transactions, please refer to Note 10 “</w:t>
      </w:r>
      <w:r>
        <w:rPr>
          <w:rFonts w:ascii="Arial" w:cs="Arial" w:eastAsia="Arial" w:hAnsi="Arial"/>
          <w:sz w:val="18"/>
          <w:szCs w:val="18"/>
          <w:i w:val="1"/>
          <w:iCs w:val="1"/>
          <w:color w:val="auto"/>
        </w:rPr>
        <w:t>Ordinary Shares and Equity Incentive Plan—Secondary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8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have evaluated subsequent events from the balance sheet date through February 25, 2022, the date at which the consolidated financial statements were available to be issued, noting no additional items which need to be disclosed within the accompanying notes to the consolidated financial statements other than those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320" w:top="118" w:right="37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u w:val="single" w:color="auto"/>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COMPANIES LAW, 1999</w:t>
      </w:r>
    </w:p>
    <w:p>
      <w:pPr>
        <w:jc w:val="center"/>
        <w:spacing w:after="0" w:line="203" w:lineRule="auto"/>
        <w:rPr>
          <w:sz w:val="20"/>
          <w:szCs w:val="20"/>
          <w:color w:val="auto"/>
        </w:rPr>
      </w:pPr>
      <w:r>
        <w:rPr>
          <w:rFonts w:ascii="Arial" w:cs="Arial" w:eastAsia="Arial" w:hAnsi="Arial"/>
          <w:sz w:val="19"/>
          <w:szCs w:val="19"/>
          <w:color w:val="auto"/>
        </w:rPr>
        <w:t>A LIMITED LIABILITY COMPANY</w:t>
      </w:r>
    </w:p>
    <w:p>
      <w:pPr>
        <w:spacing w:after="0" w:line="1"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w:t>
      </w:r>
    </w:p>
    <w:p>
      <w:pPr>
        <w:jc w:val="center"/>
        <w:spacing w:after="0" w:line="203" w:lineRule="auto"/>
        <w:rPr>
          <w:sz w:val="20"/>
          <w:szCs w:val="20"/>
          <w:color w:val="auto"/>
        </w:rPr>
      </w:pPr>
      <w:r>
        <w:rPr>
          <w:rFonts w:ascii="Arial" w:cs="Arial" w:eastAsia="Arial" w:hAnsi="Arial"/>
          <w:sz w:val="19"/>
          <w:szCs w:val="19"/>
          <w:b w:val="1"/>
          <w:bCs w:val="1"/>
          <w:color w:val="auto"/>
        </w:rPr>
        <w:t>ARTICLES OF ASSOCIATION</w:t>
      </w:r>
    </w:p>
    <w:p>
      <w:pPr>
        <w:jc w:val="center"/>
        <w:spacing w:after="0" w:line="204" w:lineRule="auto"/>
        <w:rPr>
          <w:sz w:val="20"/>
          <w:szCs w:val="20"/>
          <w:color w:val="auto"/>
        </w:rPr>
      </w:pPr>
      <w:r>
        <w:rPr>
          <w:rFonts w:ascii="Arial" w:cs="Arial" w:eastAsia="Arial" w:hAnsi="Arial"/>
          <w:sz w:val="19"/>
          <w:szCs w:val="19"/>
          <w:b w:val="1"/>
          <w:bCs w:val="1"/>
          <w:color w:val="auto"/>
        </w:rPr>
        <w:t>OF</w:t>
      </w:r>
    </w:p>
    <w:p>
      <w:pPr>
        <w:jc w:val="center"/>
        <w:spacing w:after="0"/>
        <w:rPr>
          <w:sz w:val="20"/>
          <w:szCs w:val="20"/>
          <w:color w:val="auto"/>
        </w:rPr>
      </w:pPr>
      <w:r>
        <w:rPr>
          <w:rFonts w:ascii="Arial" w:cs="Arial" w:eastAsia="Arial" w:hAnsi="Arial"/>
          <w:sz w:val="19"/>
          <w:szCs w:val="19"/>
          <w:b w:val="1"/>
          <w:bCs w:val="1"/>
          <w:color w:val="auto"/>
        </w:rPr>
        <w:t>RISKIFIED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Adopted on July 15, 2021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Preliminary</w:t>
      </w:r>
    </w:p>
    <w:p>
      <w:pPr>
        <w:spacing w:after="0" w:line="73" w:lineRule="exact"/>
        <w:rPr>
          <w:sz w:val="20"/>
          <w:szCs w:val="20"/>
          <w:color w:val="auto"/>
        </w:rPr>
      </w:pPr>
    </w:p>
    <w:p>
      <w:pPr>
        <w:ind w:left="620" w:hanging="614"/>
        <w:spacing w:after="0"/>
        <w:tabs>
          <w:tab w:leader="none" w:pos="620" w:val="left"/>
        </w:tabs>
        <w:numPr>
          <w:ilvl w:val="0"/>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Definitions; Interpretation</w:t>
      </w:r>
      <w:r>
        <w:rPr>
          <w:rFonts w:ascii="Arial" w:cs="Arial" w:eastAsia="Arial" w:hAnsi="Arial"/>
          <w:sz w:val="19"/>
          <w:szCs w:val="19"/>
          <w:color w:val="auto"/>
        </w:rPr>
        <w:t>.</w:t>
      </w:r>
    </w:p>
    <w:p>
      <w:pPr>
        <w:spacing w:after="0" w:line="79" w:lineRule="exact"/>
        <w:rPr>
          <w:sz w:val="20"/>
          <w:szCs w:val="20"/>
          <w:color w:val="auto"/>
        </w:rPr>
      </w:pPr>
    </w:p>
    <w:p>
      <w:pPr>
        <w:ind w:left="640" w:hanging="9"/>
        <w:spacing w:after="0" w:line="237" w:lineRule="auto"/>
        <w:tabs>
          <w:tab w:leader="none" w:pos="1269"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these Articles, the following terms (whether or not capitalized) shall bear the meanings set forth opposite them, respectively, unless the subject or context requires otherwise.</w:t>
      </w:r>
    </w:p>
    <w:p>
      <w:pPr>
        <w:spacing w:after="0" w:line="45"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Articles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mean these Amended and Restated Articles of Association, as amended from time to time.</w:t>
      </w:r>
    </w:p>
    <w:p>
      <w:pPr>
        <w:spacing w:after="0" w:line="73"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mean the Board of Directors of the Company.</w:t>
      </w:r>
    </w:p>
    <w:p>
      <w:pPr>
        <w:spacing w:after="0" w:line="73" w:lineRule="exact"/>
        <w:rPr>
          <w:sz w:val="20"/>
          <w:szCs w:val="20"/>
          <w:color w:val="auto"/>
        </w:rPr>
      </w:pPr>
    </w:p>
    <w:p>
      <w:pPr>
        <w:jc w:val="both"/>
        <w:ind w:left="2120" w:hanging="2384"/>
        <w:spacing w:after="0" w:line="237" w:lineRule="auto"/>
        <w:tabs>
          <w:tab w:leader="none" w:pos="210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Chairperson</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shall mean the Chairperson of the Board of Directors, or the Chairperson of the General Meeting, as the context implies;</w:t>
      </w:r>
    </w:p>
    <w:p>
      <w:pPr>
        <w:spacing w:after="0" w:line="4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shall mean Riskified Ltd.</w:t>
      </w:r>
    </w:p>
    <w:p>
      <w:pPr>
        <w:spacing w:after="0" w:line="73" w:lineRule="exact"/>
        <w:rPr>
          <w:sz w:val="20"/>
          <w:szCs w:val="20"/>
          <w:color w:val="auto"/>
        </w:rPr>
      </w:pPr>
    </w:p>
    <w:p>
      <w:pPr>
        <w:jc w:val="both"/>
        <w:ind w:left="2360" w:hanging="2384"/>
        <w:spacing w:after="0" w:line="226" w:lineRule="auto"/>
        <w:tabs>
          <w:tab w:leader="none" w:pos="234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Companies Law</w:t>
      </w:r>
      <w:r>
        <w:rPr>
          <w:rFonts w:ascii="Arial" w:cs="Arial" w:eastAsia="Arial" w:hAnsi="Arial"/>
          <w:sz w:val="19"/>
          <w:szCs w:val="19"/>
          <w:color w:val="auto"/>
        </w:rPr>
        <w:t>”</w:t>
        <w:tab/>
        <w:t>shall mean the Israeli Companies Law, 5759-1999 and the regulations promulgated thereunder. The Companies Law shall include reference to the Companies Ordinance (New Version), 5743-1983, of the State of Israel, to the extent in effect according to the provisions thereof.</w:t>
      </w:r>
    </w:p>
    <w:p>
      <w:pPr>
        <w:spacing w:after="0" w:line="45"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Director(s)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mean the member(s) of the Board of Directors holding office at a given time.</w:t>
      </w:r>
    </w:p>
    <w:p>
      <w:pPr>
        <w:spacing w:after="0" w:line="73" w:lineRule="exact"/>
        <w:rPr>
          <w:sz w:val="20"/>
          <w:szCs w:val="20"/>
          <w:color w:val="auto"/>
        </w:rPr>
      </w:pPr>
    </w:p>
    <w:p>
      <w:pPr>
        <w:jc w:val="both"/>
        <w:ind w:left="3020" w:hanging="238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Economic Competition Law</w:t>
      </w:r>
      <w:r>
        <w:rPr>
          <w:rFonts w:ascii="Arial" w:cs="Arial" w:eastAsia="Arial" w:hAnsi="Arial"/>
          <w:sz w:val="19"/>
          <w:szCs w:val="19"/>
          <w:color w:val="auto"/>
        </w:rPr>
        <w:t>”</w:t>
      </w:r>
      <w:r>
        <w:rPr>
          <w:sz w:val="20"/>
          <w:szCs w:val="20"/>
          <w:color w:val="auto"/>
        </w:rPr>
        <w:t xml:space="preserve"> </w:t>
      </w:r>
      <w:r>
        <w:rPr>
          <w:rFonts w:ascii="Arial" w:cs="Arial" w:eastAsia="Arial" w:hAnsi="Arial"/>
          <w:sz w:val="19"/>
          <w:szCs w:val="19"/>
          <w:color w:val="auto"/>
        </w:rPr>
        <w:t>shall mean the Israeli Economic Competition Law, 5758-1988, and the regulations promulgated thereunder.</w:t>
      </w:r>
    </w:p>
    <w:p>
      <w:pPr>
        <w:spacing w:after="0" w:line="45" w:lineRule="exact"/>
        <w:rPr>
          <w:sz w:val="20"/>
          <w:szCs w:val="20"/>
          <w:color w:val="auto"/>
        </w:rPr>
      </w:pPr>
    </w:p>
    <w:p>
      <w:pPr>
        <w:ind w:left="640"/>
        <w:spacing w:after="0"/>
        <w:tabs>
          <w:tab w:leader="none" w:pos="254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External Director(s)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have the meaning provided for such term in the Companies Law.</w:t>
      </w:r>
    </w:p>
    <w:p>
      <w:pPr>
        <w:spacing w:after="0" w:line="100" w:lineRule="exact"/>
        <w:rPr>
          <w:sz w:val="20"/>
          <w:szCs w:val="20"/>
          <w:color w:val="auto"/>
        </w:rPr>
      </w:pPr>
    </w:p>
    <w:p>
      <w:pPr>
        <w:jc w:val="both"/>
        <w:ind w:left="2520" w:hanging="2384"/>
        <w:spacing w:after="0" w:line="293" w:lineRule="auto"/>
        <w:tabs>
          <w:tab w:leader="none" w:pos="250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General Meeting</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shall mean an Annual General Meeting or Special General Meeting of the Shareholders (each as defined in Article 24 of these Articles) as the case may be.</w:t>
      </w:r>
    </w:p>
    <w:p>
      <w:pPr>
        <w:spacing w:after="0" w:line="23"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NIS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mean New Israeli Shekels.</w:t>
      </w:r>
    </w:p>
    <w:p>
      <w:pPr>
        <w:spacing w:after="0" w:line="73" w:lineRule="exact"/>
        <w:rPr>
          <w:sz w:val="20"/>
          <w:szCs w:val="20"/>
          <w:color w:val="auto"/>
        </w:rPr>
      </w:pPr>
    </w:p>
    <w:p>
      <w:pPr>
        <w:ind w:left="640"/>
        <w:spacing w:after="0"/>
        <w:tabs>
          <w:tab w:leader="none" w:pos="148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mean the registered office of the Company at any given time.</w:t>
      </w:r>
    </w:p>
    <w:p>
      <w:pPr>
        <w:spacing w:after="0" w:line="73" w:lineRule="exact"/>
        <w:rPr>
          <w:sz w:val="20"/>
          <w:szCs w:val="20"/>
          <w:color w:val="auto"/>
        </w:rPr>
      </w:pPr>
    </w:p>
    <w:p>
      <w:pPr>
        <w:ind w:left="640"/>
        <w:spacing w:after="0"/>
        <w:tabs>
          <w:tab w:leader="none" w:pos="306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 Holder</w:t>
      </w:r>
      <w:r>
        <w:rPr>
          <w:rFonts w:ascii="Arial" w:cs="Arial" w:eastAsia="Arial" w:hAnsi="Arial"/>
          <w:sz w:val="19"/>
          <w:szCs w:val="19"/>
          <w:color w:val="auto"/>
        </w:rPr>
        <w:t>” or “</w:t>
      </w:r>
      <w:r>
        <w:rPr>
          <w:rFonts w:ascii="Arial" w:cs="Arial" w:eastAsia="Arial" w:hAnsi="Arial"/>
          <w:sz w:val="19"/>
          <w:szCs w:val="19"/>
          <w:u w:val="single" w:color="auto"/>
          <w:color w:val="auto"/>
        </w:rPr>
        <w:t>Officer</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have the meaning provided for such term in the Companies Law.</w:t>
      </w:r>
    </w:p>
    <w:p>
      <w:pPr>
        <w:spacing w:after="0" w:line="73"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Law</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mean the Israeli Securities Law 5728-1968 and the regulations promulgated thereunder.</w:t>
      </w:r>
    </w:p>
    <w:p>
      <w:pPr>
        <w:spacing w:after="0" w:line="73"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Shareholder(s)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shall mean the shareholder(s) of the Company, at any given time.</w:t>
      </w:r>
    </w:p>
    <w:p>
      <w:pPr>
        <w:spacing w:after="0" w:line="73" w:lineRule="exact"/>
        <w:rPr>
          <w:sz w:val="20"/>
          <w:szCs w:val="20"/>
          <w:color w:val="auto"/>
        </w:rPr>
      </w:pPr>
    </w:p>
    <w:p>
      <w:pPr>
        <w:jc w:val="both"/>
        <w:ind w:left="640" w:hanging="9"/>
        <w:spacing w:after="0" w:line="220" w:lineRule="auto"/>
        <w:tabs>
          <w:tab w:leader="none" w:pos="1266" w:val="left"/>
        </w:tabs>
        <w:numPr>
          <w:ilvl w:val="0"/>
          <w:numId w:val="94"/>
        </w:numPr>
        <w:rPr>
          <w:rFonts w:ascii="Arial" w:cs="Arial" w:eastAsia="Arial" w:hAnsi="Arial"/>
          <w:sz w:val="19"/>
          <w:szCs w:val="19"/>
          <w:color w:val="auto"/>
        </w:rPr>
      </w:pPr>
      <w:r>
        <w:rPr>
          <w:rFonts w:ascii="Arial" w:cs="Arial" w:eastAsia="Arial" w:hAnsi="Arial"/>
          <w:sz w:val="19"/>
          <w:szCs w:val="19"/>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these Articles in their entirety and not to any part hereof; all references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0" w:lineRule="exact"/>
        <w:rPr>
          <w:rFonts w:ascii="Arial" w:cs="Arial" w:eastAsia="Arial" w:hAnsi="Arial"/>
          <w:sz w:val="19"/>
          <w:szCs w:val="19"/>
          <w:color w:val="auto"/>
        </w:rPr>
      </w:pPr>
    </w:p>
    <w:p>
      <w:pPr>
        <w:ind w:left="5580" w:hanging="89"/>
        <w:spacing w:after="0"/>
        <w:tabs>
          <w:tab w:leader="none" w:pos="55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1 -</w:t>
      </w:r>
    </w:p>
    <w:p>
      <w:pPr>
        <w:sectPr>
          <w:pgSz w:w="11900" w:h="16838" w:orient="portrait"/>
          <w:cols w:equalWidth="0" w:num="1">
            <w:col w:w="11240"/>
          </w:cols>
          <w:pgMar w:left="320" w:top="108" w:right="339" w:bottom="1440" w:gutter="0" w:footer="0" w:header="0"/>
        </w:sectPr>
      </w:pPr>
    </w:p>
    <w:bookmarkStart w:id="174" w:name="page175"/>
    <w:bookmarkEnd w:id="174"/>
    <w:p>
      <w:pPr>
        <w:spacing w:after="0" w:line="154" w:lineRule="exact"/>
        <w:rPr>
          <w:sz w:val="20"/>
          <w:szCs w:val="20"/>
          <w:color w:val="auto"/>
        </w:rPr>
      </w:pPr>
    </w:p>
    <w:p>
      <w:pPr>
        <w:jc w:val="both"/>
        <w:ind w:left="640"/>
        <w:spacing w:after="0" w:line="220" w:lineRule="auto"/>
        <w:rPr>
          <w:sz w:val="20"/>
          <w:szCs w:val="20"/>
          <w:color w:val="auto"/>
        </w:rPr>
      </w:pPr>
      <w:r>
        <w:rPr>
          <w:rFonts w:ascii="Arial" w:cs="Arial" w:eastAsia="Arial" w:hAnsi="Arial"/>
          <w:sz w:val="18"/>
          <w:szCs w:val="18"/>
          <w:color w:val="auto"/>
        </w:rPr>
        <w:t>herein to Articles or clauses shall be deemed references to Articles or clauses of these Articles;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law (‘</w:t>
      </w:r>
      <w:r>
        <w:rPr>
          <w:rFonts w:ascii="Arial" w:cs="Arial" w:eastAsia="Arial" w:hAnsi="Arial"/>
          <w:sz w:val="18"/>
          <w:szCs w:val="18"/>
          <w:i w:val="1"/>
          <w:iCs w:val="1"/>
          <w:color w:val="auto"/>
        </w:rPr>
        <w:t>din</w:t>
      </w:r>
      <w:r>
        <w:rPr>
          <w:rFonts w:ascii="Arial" w:cs="Arial" w:eastAsia="Arial" w:hAnsi="Arial"/>
          <w:sz w:val="18"/>
          <w:szCs w:val="18"/>
          <w:color w:val="auto"/>
        </w:rPr>
        <w:t>’) as defined in the Interpretation Law, 5741-1981 and any applicable supranational, national, federal, state, local, or foreign statute or law and shall be deemed also to refer to all rules and regulations promulgated thereunder; any reference to a “day” or a number of “days” (without any explicit reference otherwise, such as to business days) shall be interpreted as a reference to a calendar day or number of calendar days; any reference to a business day shall mean each calendar day other than any calendar day on which commercial banks in New York, New York or Tel-Aviv, Israel are authorized or required by applicable law to close; reference to a month or year means according to the Gregorian calendar; any reference to a “Person” shall mean any individual, partnership, corporation, limited liability company, association, estate, any political, governmental, regulatory or similar agency or body, or other legal entity; and reference to “written” or “in writing” shall include written, printed, photocopied, typed, any electronic communication (including email, facsimile, signed electronically (in Adobe PDF, DocuSign or any other format)) or produced by any visible substitute for writing, or partly one and partly another, and signed shall be construed accordingly.</w:t>
      </w:r>
    </w:p>
    <w:p>
      <w:pPr>
        <w:spacing w:after="0" w:line="51" w:lineRule="exact"/>
        <w:rPr>
          <w:sz w:val="20"/>
          <w:szCs w:val="20"/>
          <w:color w:val="auto"/>
        </w:rPr>
      </w:pPr>
    </w:p>
    <w:p>
      <w:pPr>
        <w:ind w:left="640" w:hanging="9"/>
        <w:spacing w:after="0" w:line="237" w:lineRule="auto"/>
        <w:tabs>
          <w:tab w:leader="none" w:pos="1269"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captions in these Articles are for convenience only and shall not be deemed a part hereof or affect the construction or interpretation of any provision hereof.</w:t>
      </w:r>
    </w:p>
    <w:p>
      <w:pPr>
        <w:spacing w:after="0" w:line="45" w:lineRule="exact"/>
        <w:rPr>
          <w:rFonts w:ascii="Arial" w:cs="Arial" w:eastAsia="Arial" w:hAnsi="Arial"/>
          <w:sz w:val="19"/>
          <w:szCs w:val="19"/>
          <w:color w:val="auto"/>
        </w:rPr>
      </w:pPr>
    </w:p>
    <w:p>
      <w:pPr>
        <w:ind w:left="640" w:hanging="9"/>
        <w:spacing w:after="0" w:line="237" w:lineRule="auto"/>
        <w:tabs>
          <w:tab w:leader="none" w:pos="1266"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specific provisions of these Articles shall supersede the provisions of the Companies Law to the extent permitted thereunder.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Limited Liability</w:t>
      </w:r>
    </w:p>
    <w:p>
      <w:pPr>
        <w:spacing w:after="0" w:line="79" w:lineRule="exact"/>
        <w:rPr>
          <w:sz w:val="20"/>
          <w:szCs w:val="20"/>
          <w:color w:val="auto"/>
        </w:rPr>
      </w:pPr>
    </w:p>
    <w:p>
      <w:pPr>
        <w:jc w:val="both"/>
        <w:ind w:left="640" w:hanging="634"/>
        <w:spacing w:after="0" w:line="259" w:lineRule="auto"/>
        <w:tabs>
          <w:tab w:leader="none" w:pos="63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is a limited liability company and each Shareholder’s liability for the Company’s debt is therefore limited (in addition to any liabilities under any contract) to the payment of the full amount (par value (if any) and premium) such Shareholder was required to pay the Company for such Shareholder’s Shares (as defined below), and which amount has not yet been paid by such Shareholder.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Company’s Objectives</w:t>
      </w:r>
    </w:p>
    <w:p>
      <w:pPr>
        <w:spacing w:after="0" w:line="73" w:lineRule="exact"/>
        <w:rPr>
          <w:sz w:val="20"/>
          <w:szCs w:val="20"/>
          <w:color w:val="auto"/>
        </w:rPr>
      </w:pPr>
    </w:p>
    <w:p>
      <w:pPr>
        <w:ind w:left="620" w:hanging="614"/>
        <w:spacing w:after="0"/>
        <w:tabs>
          <w:tab w:leader="none" w:pos="620" w:val="left"/>
        </w:tabs>
        <w:numPr>
          <w:ilvl w:val="0"/>
          <w:numId w:val="97"/>
        </w:numPr>
        <w:rPr>
          <w:rFonts w:ascii="Arial" w:cs="Arial" w:eastAsia="Arial" w:hAnsi="Arial"/>
          <w:sz w:val="19"/>
          <w:szCs w:val="19"/>
          <w:color w:val="auto"/>
        </w:rPr>
      </w:pPr>
      <w:r>
        <w:rPr>
          <w:rFonts w:ascii="Arial" w:cs="Arial" w:eastAsia="Arial" w:hAnsi="Arial"/>
          <w:sz w:val="19"/>
          <w:szCs w:val="19"/>
          <w:b w:val="1"/>
          <w:bCs w:val="1"/>
          <w:u w:val="single" w:color="auto"/>
          <w:color w:val="auto"/>
        </w:rPr>
        <w:t>Objectives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The Company’s objectives are to carry on any business, and do any act, which is not prohibited by law.</w:t>
      </w:r>
    </w:p>
    <w:p>
      <w:pPr>
        <w:spacing w:after="0" w:line="67" w:lineRule="exact"/>
        <w:rPr>
          <w:rFonts w:ascii="Arial" w:cs="Arial" w:eastAsia="Arial" w:hAnsi="Arial"/>
          <w:sz w:val="19"/>
          <w:szCs w:val="19"/>
          <w:color w:val="auto"/>
        </w:rPr>
      </w:pPr>
    </w:p>
    <w:p>
      <w:pPr>
        <w:ind w:left="620" w:hanging="614"/>
        <w:spacing w:after="0"/>
        <w:tabs>
          <w:tab w:leader="none" w:pos="620" w:val="left"/>
        </w:tabs>
        <w:numPr>
          <w:ilvl w:val="0"/>
          <w:numId w:val="97"/>
        </w:numPr>
        <w:rPr>
          <w:rFonts w:ascii="Arial" w:cs="Arial" w:eastAsia="Arial" w:hAnsi="Arial"/>
          <w:sz w:val="19"/>
          <w:szCs w:val="19"/>
          <w:color w:val="auto"/>
        </w:rPr>
      </w:pPr>
      <w:r>
        <w:rPr>
          <w:rFonts w:ascii="Arial" w:cs="Arial" w:eastAsia="Arial" w:hAnsi="Arial"/>
          <w:sz w:val="19"/>
          <w:szCs w:val="19"/>
          <w:b w:val="1"/>
          <w:bCs w:val="1"/>
          <w:u w:val="single" w:color="auto"/>
          <w:color w:val="auto"/>
        </w:rPr>
        <w:t>Donations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6" w:lineRule="auto"/>
        <w:rPr>
          <w:rFonts w:ascii="Arial" w:cs="Arial" w:eastAsia="Arial" w:hAnsi="Arial"/>
          <w:sz w:val="19"/>
          <w:szCs w:val="19"/>
          <w:color w:val="auto"/>
        </w:rPr>
      </w:pPr>
      <w:r>
        <w:rPr>
          <w:rFonts w:ascii="Arial" w:cs="Arial" w:eastAsia="Arial" w:hAnsi="Arial"/>
          <w:sz w:val="19"/>
          <w:szCs w:val="19"/>
          <w:color w:val="auto"/>
        </w:rPr>
        <w:t>The Company may donate a reasonable amount of money (in cash or in kind, including the Company’s securities) to worthy purposes, as the Board of Directors may determine in its discretion, even if such donations are not made on the basis or within the scope of business considerations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Share Capital</w:t>
      </w:r>
    </w:p>
    <w:p>
      <w:pPr>
        <w:spacing w:after="0" w:line="73" w:lineRule="exact"/>
        <w:rPr>
          <w:sz w:val="20"/>
          <w:szCs w:val="20"/>
          <w:color w:val="auto"/>
        </w:rPr>
      </w:pPr>
    </w:p>
    <w:p>
      <w:pPr>
        <w:ind w:left="620" w:hanging="614"/>
        <w:spacing w:after="0"/>
        <w:tabs>
          <w:tab w:leader="none" w:pos="620"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Authorized Share Capital</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6" w:lineRule="auto"/>
        <w:tabs>
          <w:tab w:leader="none" w:pos="1269"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authorized share capital of the Company shall consist of (i) 900,000,000 Class A Ordinary Shares without par value (the “</w:t>
      </w:r>
      <w:r>
        <w:rPr>
          <w:rFonts w:ascii="Arial" w:cs="Arial" w:eastAsia="Arial" w:hAnsi="Arial"/>
          <w:sz w:val="19"/>
          <w:szCs w:val="19"/>
          <w:u w:val="single" w:color="auto"/>
          <w:color w:val="auto"/>
        </w:rPr>
        <w:t>Class A Shares</w:t>
      </w:r>
      <w:r>
        <w:rPr>
          <w:rFonts w:ascii="Arial" w:cs="Arial" w:eastAsia="Arial" w:hAnsi="Arial"/>
          <w:sz w:val="19"/>
          <w:szCs w:val="19"/>
          <w:color w:val="auto"/>
        </w:rPr>
        <w:t>”) and (ii) 232,500,000 Class B Ordinary Shares without par value (the “</w:t>
      </w:r>
      <w:r>
        <w:rPr>
          <w:rFonts w:ascii="Arial" w:cs="Arial" w:eastAsia="Arial" w:hAnsi="Arial"/>
          <w:sz w:val="19"/>
          <w:szCs w:val="19"/>
          <w:u w:val="single" w:color="auto"/>
          <w:color w:val="auto"/>
        </w:rPr>
        <w:t>Class B Shares</w:t>
      </w:r>
      <w:r>
        <w:rPr>
          <w:rFonts w:ascii="Arial" w:cs="Arial" w:eastAsia="Arial" w:hAnsi="Arial"/>
          <w:sz w:val="19"/>
          <w:szCs w:val="19"/>
          <w:color w:val="auto"/>
        </w:rPr>
        <w:t>” and, collectively with the Class A Shares, the “</w:t>
      </w:r>
      <w:r>
        <w:rPr>
          <w:rFonts w:ascii="Arial" w:cs="Arial" w:eastAsia="Arial" w:hAnsi="Arial"/>
          <w:sz w:val="19"/>
          <w:szCs w:val="19"/>
          <w:u w:val="single" w:color="auto"/>
          <w:color w:val="auto"/>
        </w:rPr>
        <w:t>Shares</w:t>
      </w:r>
      <w:r>
        <w:rPr>
          <w:rFonts w:ascii="Arial" w:cs="Arial" w:eastAsia="Arial" w:hAnsi="Arial"/>
          <w:sz w:val="19"/>
          <w:szCs w:val="19"/>
          <w:color w:val="auto"/>
        </w:rPr>
        <w:t>”).</w:t>
      </w:r>
    </w:p>
    <w:p>
      <w:pPr>
        <w:spacing w:after="0" w:line="45" w:lineRule="exact"/>
        <w:rPr>
          <w:rFonts w:ascii="Arial" w:cs="Arial" w:eastAsia="Arial" w:hAnsi="Arial"/>
          <w:sz w:val="19"/>
          <w:szCs w:val="19"/>
          <w:color w:val="auto"/>
        </w:rPr>
      </w:pPr>
    </w:p>
    <w:p>
      <w:pPr>
        <w:ind w:left="1260" w:hanging="629"/>
        <w:spacing w:after="0"/>
        <w:tabs>
          <w:tab w:leader="none" w:pos="1260"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Shares may be redeemable to the extent set forth in Article 19.</w:t>
      </w:r>
    </w:p>
    <w:p>
      <w:pPr>
        <w:spacing w:after="0" w:line="67" w:lineRule="exact"/>
        <w:rPr>
          <w:rFonts w:ascii="Arial" w:cs="Arial" w:eastAsia="Arial" w:hAnsi="Arial"/>
          <w:sz w:val="19"/>
          <w:szCs w:val="19"/>
          <w:color w:val="auto"/>
        </w:rPr>
      </w:pPr>
    </w:p>
    <w:p>
      <w:pPr>
        <w:ind w:left="620" w:hanging="614"/>
        <w:spacing w:after="0"/>
        <w:tabs>
          <w:tab w:leader="none" w:pos="620"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of Class A Shares and Class B Shares</w:t>
      </w:r>
    </w:p>
    <w:p>
      <w:pPr>
        <w:spacing w:after="0" w:line="79" w:lineRule="exact"/>
        <w:rPr>
          <w:rFonts w:ascii="Arial" w:cs="Arial" w:eastAsia="Arial" w:hAnsi="Arial"/>
          <w:sz w:val="19"/>
          <w:szCs w:val="19"/>
          <w:color w:val="auto"/>
        </w:rPr>
      </w:pPr>
    </w:p>
    <w:p>
      <w:pPr>
        <w:ind w:left="1380" w:hanging="749"/>
        <w:spacing w:after="0"/>
        <w:tabs>
          <w:tab w:leader="none" w:pos="1380"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w:t>
      </w:r>
    </w:p>
    <w:p>
      <w:pPr>
        <w:spacing w:after="0" w:line="73" w:lineRule="exact"/>
        <w:rPr>
          <w:rFonts w:ascii="Arial" w:cs="Arial" w:eastAsia="Arial" w:hAnsi="Arial"/>
          <w:sz w:val="19"/>
          <w:szCs w:val="19"/>
          <w:color w:val="auto"/>
        </w:rPr>
      </w:pPr>
    </w:p>
    <w:p>
      <w:pPr>
        <w:jc w:val="both"/>
        <w:ind w:left="2260" w:right="620" w:hanging="877"/>
        <w:spacing w:after="0" w:line="291" w:lineRule="auto"/>
        <w:tabs>
          <w:tab w:leader="none" w:pos="2255" w:val="left"/>
        </w:tabs>
        <w:numPr>
          <w:ilvl w:val="2"/>
          <w:numId w:val="98"/>
        </w:numPr>
        <w:rPr>
          <w:rFonts w:ascii="Arial" w:cs="Arial" w:eastAsia="Arial" w:hAnsi="Arial"/>
          <w:sz w:val="17"/>
          <w:szCs w:val="17"/>
          <w:color w:val="auto"/>
        </w:rPr>
      </w:pPr>
      <w:r>
        <w:rPr>
          <w:rFonts w:ascii="Arial" w:cs="Arial" w:eastAsia="Arial" w:hAnsi="Arial"/>
          <w:sz w:val="17"/>
          <w:szCs w:val="17"/>
          <w:color w:val="auto"/>
        </w:rPr>
        <w:t>Except as otherwise expressly provided herein or required by applicable law, the holders of Class A Shares and Class B Shares shall vote together as one class on all matters submitted to the vote of the Shareholders.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80" w:hanging="89"/>
        <w:spacing w:after="0"/>
        <w:tabs>
          <w:tab w:leader="none" w:pos="5580" w:val="left"/>
        </w:tabs>
        <w:numPr>
          <w:ilvl w:val="3"/>
          <w:numId w:val="98"/>
        </w:numPr>
        <w:rPr>
          <w:rFonts w:ascii="Arial" w:cs="Arial" w:eastAsia="Arial" w:hAnsi="Arial"/>
          <w:sz w:val="16"/>
          <w:szCs w:val="16"/>
          <w:color w:val="auto"/>
        </w:rPr>
      </w:pPr>
      <w:r>
        <w:rPr>
          <w:rFonts w:ascii="Arial" w:cs="Arial" w:eastAsia="Arial" w:hAnsi="Arial"/>
          <w:sz w:val="16"/>
          <w:szCs w:val="16"/>
          <w:color w:val="auto"/>
        </w:rPr>
        <w:t>2 -</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54" w:lineRule="exact"/>
        <w:rPr>
          <w:sz w:val="20"/>
          <w:szCs w:val="20"/>
          <w:color w:val="auto"/>
        </w:rPr>
      </w:pPr>
    </w:p>
    <w:p>
      <w:pPr>
        <w:jc w:val="both"/>
        <w:ind w:left="1629" w:right="620" w:hanging="877"/>
        <w:spacing w:after="0" w:line="220" w:lineRule="auto"/>
        <w:tabs>
          <w:tab w:leader="none" w:pos="1625" w:val="left"/>
        </w:tabs>
        <w:numPr>
          <w:ilvl w:val="1"/>
          <w:numId w:val="99"/>
        </w:numPr>
        <w:rPr>
          <w:rFonts w:ascii="Arial" w:cs="Arial" w:eastAsia="Arial" w:hAnsi="Arial"/>
          <w:sz w:val="19"/>
          <w:szCs w:val="19"/>
          <w:color w:val="auto"/>
        </w:rPr>
      </w:pPr>
      <w:r>
        <w:rPr>
          <w:rFonts w:ascii="Arial" w:cs="Arial" w:eastAsia="Arial" w:hAnsi="Arial"/>
          <w:sz w:val="19"/>
          <w:szCs w:val="19"/>
          <w:color w:val="auto"/>
        </w:rPr>
        <w:t>Except as otherwise expressly provided herein or required by applicable law, on any matter that is submitted to a vote of the Shareholders, each holder of Class A Shares shall be entitled to one (1) vote for each Class A Share then held by it, and each holder of Class B Shares shall be entitled to ten (10) votes for each Class B Share then held by it.</w:t>
      </w:r>
    </w:p>
    <w:p>
      <w:pPr>
        <w:spacing w:after="0" w:line="46" w:lineRule="exact"/>
        <w:rPr>
          <w:rFonts w:ascii="Arial" w:cs="Arial" w:eastAsia="Arial" w:hAnsi="Arial"/>
          <w:sz w:val="19"/>
          <w:szCs w:val="19"/>
          <w:color w:val="auto"/>
        </w:rPr>
      </w:pPr>
    </w:p>
    <w:p>
      <w:pPr>
        <w:jc w:val="both"/>
        <w:ind w:left="9" w:hanging="9"/>
        <w:spacing w:after="0" w:line="226" w:lineRule="auto"/>
        <w:tabs>
          <w:tab w:leader="none" w:pos="63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Identical Rights</w:t>
      </w:r>
      <w:r>
        <w:rPr>
          <w:rFonts w:ascii="Arial" w:cs="Arial" w:eastAsia="Arial" w:hAnsi="Arial"/>
          <w:sz w:val="19"/>
          <w:szCs w:val="19"/>
          <w:color w:val="auto"/>
        </w:rPr>
        <w:t>. Except as otherwise expressly provided herein or required by applicable law, the Class A Shares and Class B Shares shall have the same rights and privileges and rank equally, share ratably and be identical in all respects as to all matters, including, without limitation:</w:t>
      </w:r>
    </w:p>
    <w:p>
      <w:pPr>
        <w:spacing w:after="0" w:line="45" w:lineRule="exact"/>
        <w:rPr>
          <w:rFonts w:ascii="Arial" w:cs="Arial" w:eastAsia="Arial" w:hAnsi="Arial"/>
          <w:sz w:val="19"/>
          <w:szCs w:val="19"/>
          <w:color w:val="auto"/>
        </w:rPr>
      </w:pPr>
    </w:p>
    <w:p>
      <w:pPr>
        <w:jc w:val="both"/>
        <w:ind w:left="1629" w:right="620" w:hanging="877"/>
        <w:spacing w:after="0" w:line="236" w:lineRule="auto"/>
        <w:tabs>
          <w:tab w:leader="none" w:pos="1624"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xml:space="preserve">. Class A Shares and Class B Shares shall be treated equally, identically and ratably, on a per share basis, with respect to any dividend or distribution paid or distributed by the Company unless different treatment with respect to the Shares of each such class is approved in a general meeting of each of the Class A Shares and Class B Shares, each voting separately as a class, and in which a majority of the Shares of each such class present and voting in such general meeting affirmatively vote in favor of such different treatment,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a distribution is paid in the form of Class A Shares or Class B Shares (or rights to acquire such shares), then holders of Class A Shares shall receive Class A Shares (or rights to acquire such shares, as the case may be) and holders of Class B Shares shall receive Class B Shares (or rights to acquire such shares, as the case may be).</w:t>
      </w:r>
    </w:p>
    <w:p>
      <w:pPr>
        <w:spacing w:after="0" w:line="46" w:lineRule="exact"/>
        <w:rPr>
          <w:sz w:val="20"/>
          <w:szCs w:val="20"/>
          <w:color w:val="auto"/>
        </w:rPr>
      </w:pPr>
    </w:p>
    <w:p>
      <w:pPr>
        <w:jc w:val="both"/>
        <w:ind w:left="1629" w:right="620" w:hanging="877"/>
        <w:spacing w:after="0" w:line="226" w:lineRule="auto"/>
        <w:tabs>
          <w:tab w:leader="none" w:pos="1625"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Subdivision and Combination</w:t>
      </w:r>
      <w:r>
        <w:rPr>
          <w:rFonts w:ascii="Arial" w:cs="Arial" w:eastAsia="Arial" w:hAnsi="Arial"/>
          <w:sz w:val="18"/>
          <w:szCs w:val="18"/>
          <w:color w:val="auto"/>
        </w:rPr>
        <w:t>. If the Company effects a split, reverse split, subdivision or combination of the outstanding Class A Shares or Class B Shares, the outstanding Shares of the other class will be subject to the same split, reverse split, subdivision or combination in the same proportion and manner, unless different treatment is approved in a general meeting of each of the Class A Shares and Class B Shares, each voting separately as a class, and in which a majority of the shares of each such class present and voting in such meeting affirmatively vote in favor of such different treatment.</w:t>
      </w:r>
    </w:p>
    <w:p>
      <w:pPr>
        <w:spacing w:after="0" w:line="49" w:lineRule="exact"/>
        <w:rPr>
          <w:rFonts w:ascii="Arial" w:cs="Arial" w:eastAsia="Arial" w:hAnsi="Arial"/>
          <w:sz w:val="18"/>
          <w:szCs w:val="18"/>
          <w:color w:val="auto"/>
        </w:rPr>
      </w:pPr>
    </w:p>
    <w:p>
      <w:pPr>
        <w:jc w:val="both"/>
        <w:ind w:left="1629" w:right="620" w:hanging="877"/>
        <w:spacing w:after="0" w:line="225" w:lineRule="auto"/>
        <w:tabs>
          <w:tab w:leader="none" w:pos="162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Change of Control Transaction</w:t>
      </w:r>
      <w:r>
        <w:rPr>
          <w:rFonts w:ascii="Arial" w:cs="Arial" w:eastAsia="Arial" w:hAnsi="Arial"/>
          <w:sz w:val="18"/>
          <w:szCs w:val="18"/>
          <w:color w:val="auto"/>
        </w:rPr>
        <w:t>. Class A Shares and Class B Shares shall be treated equally, identically and ratably on a per share basis with respect to any consideration into which such Shares are converted or any consideration paid or otherwise distributed to Shareholders of the Company in connection with a Change of Control Transaction (as defined below), unless different treatment of the Shares of each such class is approved in a general meeting of each of the Class A Shares and Class B Shares, each voting separately as a class, and in which a majority of the shares of each such class present and voting in such meeting affirmatively vote in favor of such different treatment.</w:t>
      </w:r>
    </w:p>
    <w:p>
      <w:pPr>
        <w:spacing w:after="0" w:line="46" w:lineRule="exact"/>
        <w:rPr>
          <w:rFonts w:ascii="Arial" w:cs="Arial" w:eastAsia="Arial" w:hAnsi="Arial"/>
          <w:sz w:val="18"/>
          <w:szCs w:val="18"/>
          <w:color w:val="auto"/>
        </w:rPr>
      </w:pPr>
    </w:p>
    <w:p>
      <w:pPr>
        <w:ind w:left="9" w:hanging="9"/>
        <w:spacing w:after="0" w:line="237" w:lineRule="auto"/>
        <w:tabs>
          <w:tab w:leader="none" w:pos="63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Voluntary Conversion</w:t>
      </w:r>
      <w:r>
        <w:rPr>
          <w:rFonts w:ascii="Arial" w:cs="Arial" w:eastAsia="Arial" w:hAnsi="Arial"/>
          <w:sz w:val="19"/>
          <w:szCs w:val="19"/>
          <w:color w:val="auto"/>
        </w:rPr>
        <w:t>. Each one (1) Class B Share shall be convertible into one (1) Class A Share at the option of the holder thereof, at any time, upon written notice to the Company and the Company’s transfer agent.</w:t>
      </w:r>
    </w:p>
    <w:p>
      <w:pPr>
        <w:spacing w:after="0" w:line="40" w:lineRule="exact"/>
        <w:rPr>
          <w:rFonts w:ascii="Arial" w:cs="Arial" w:eastAsia="Arial" w:hAnsi="Arial"/>
          <w:sz w:val="19"/>
          <w:szCs w:val="19"/>
          <w:color w:val="auto"/>
        </w:rPr>
      </w:pPr>
    </w:p>
    <w:p>
      <w:pPr>
        <w:ind w:left="629" w:hanging="629"/>
        <w:spacing w:after="0"/>
        <w:tabs>
          <w:tab w:leader="none" w:pos="62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Class B Shares shall automatically convert into an equal number of Class A Shares upon the earlier</w:t>
      </w:r>
    </w:p>
    <w:p>
      <w:pPr>
        <w:ind w:left="9"/>
        <w:spacing w:after="0"/>
        <w:rPr>
          <w:rFonts w:ascii="Arial" w:cs="Arial" w:eastAsia="Arial" w:hAnsi="Arial"/>
          <w:sz w:val="18"/>
          <w:szCs w:val="18"/>
          <w:color w:val="auto"/>
        </w:rPr>
      </w:pPr>
      <w:r>
        <w:rPr>
          <w:rFonts w:ascii="Arial" w:cs="Arial" w:eastAsia="Arial" w:hAnsi="Arial"/>
          <w:sz w:val="19"/>
          <w:szCs w:val="19"/>
          <w:color w:val="auto"/>
        </w:rPr>
        <w:t>of:</w:t>
      </w:r>
    </w:p>
    <w:p>
      <w:pPr>
        <w:spacing w:after="0" w:line="57" w:lineRule="exact"/>
        <w:rPr>
          <w:rFonts w:ascii="Arial" w:cs="Arial" w:eastAsia="Arial" w:hAnsi="Arial"/>
          <w:sz w:val="18"/>
          <w:szCs w:val="18"/>
          <w:color w:val="auto"/>
        </w:rPr>
      </w:pPr>
    </w:p>
    <w:p>
      <w:pPr>
        <w:jc w:val="both"/>
        <w:ind w:left="1629" w:right="240" w:hanging="877"/>
        <w:spacing w:after="0" w:line="226" w:lineRule="auto"/>
        <w:tabs>
          <w:tab w:leader="none" w:pos="162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 Transfer (as defined below) of the respective Class B Shares, provided, however, that no such conversion shall occur upon the Transfer to a Permitted Transferee (as defined below). “</w:t>
      </w:r>
      <w:r>
        <w:rPr>
          <w:rFonts w:ascii="Arial" w:cs="Arial" w:eastAsia="Arial" w:hAnsi="Arial"/>
          <w:sz w:val="19"/>
          <w:szCs w:val="19"/>
          <w:u w:val="single" w:color="auto"/>
          <w:color w:val="auto"/>
        </w:rPr>
        <w:t>Permitted Transferee</w:t>
      </w:r>
      <w:r>
        <w:rPr>
          <w:rFonts w:ascii="Arial" w:cs="Arial" w:eastAsia="Arial" w:hAnsi="Arial"/>
          <w:sz w:val="19"/>
          <w:szCs w:val="19"/>
          <w:color w:val="auto"/>
        </w:rPr>
        <w:t>” with respect to any Shareholder of Class B Shares shall mean any of the following:</w:t>
      </w:r>
    </w:p>
    <w:p>
      <w:pPr>
        <w:spacing w:after="0" w:line="45" w:lineRule="exact"/>
        <w:rPr>
          <w:rFonts w:ascii="Arial" w:cs="Arial" w:eastAsia="Arial" w:hAnsi="Arial"/>
          <w:sz w:val="19"/>
          <w:szCs w:val="19"/>
          <w:color w:val="auto"/>
        </w:rPr>
      </w:pPr>
    </w:p>
    <w:p>
      <w:pPr>
        <w:ind w:left="2009" w:hanging="380"/>
        <w:spacing w:after="0"/>
        <w:tabs>
          <w:tab w:leader="none" w:pos="2009" w:val="left"/>
        </w:tabs>
        <w:numPr>
          <w:ilvl w:val="2"/>
          <w:numId w:val="102"/>
        </w:numPr>
        <w:rPr>
          <w:rFonts w:ascii="Arial" w:cs="Arial" w:eastAsia="Arial" w:hAnsi="Arial"/>
          <w:sz w:val="19"/>
          <w:szCs w:val="19"/>
          <w:color w:val="auto"/>
        </w:rPr>
      </w:pPr>
      <w:r>
        <w:rPr>
          <w:rFonts w:ascii="Arial" w:cs="Arial" w:eastAsia="Arial" w:hAnsi="Arial"/>
          <w:sz w:val="19"/>
          <w:szCs w:val="19"/>
          <w:color w:val="auto"/>
        </w:rPr>
        <w:t>a Family Member of such holder of Class B Shares;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6" w:lineRule="exact"/>
        <w:rPr>
          <w:rFonts w:ascii="Arial" w:cs="Arial" w:eastAsia="Arial" w:hAnsi="Arial"/>
          <w:sz w:val="19"/>
          <w:szCs w:val="19"/>
          <w:color w:val="auto"/>
        </w:rPr>
      </w:pPr>
    </w:p>
    <w:p>
      <w:pPr>
        <w:ind w:left="4949" w:hanging="89"/>
        <w:spacing w:after="0"/>
        <w:tabs>
          <w:tab w:leader="none" w:pos="4949" w:val="left"/>
        </w:tabs>
        <w:numPr>
          <w:ilvl w:val="3"/>
          <w:numId w:val="102"/>
        </w:numPr>
        <w:rPr>
          <w:rFonts w:ascii="Arial" w:cs="Arial" w:eastAsia="Arial" w:hAnsi="Arial"/>
          <w:sz w:val="16"/>
          <w:szCs w:val="16"/>
          <w:color w:val="auto"/>
        </w:rPr>
      </w:pPr>
      <w:r>
        <w:rPr>
          <w:rFonts w:ascii="Arial" w:cs="Arial" w:eastAsia="Arial" w:hAnsi="Arial"/>
          <w:sz w:val="16"/>
          <w:szCs w:val="16"/>
          <w:color w:val="auto"/>
        </w:rPr>
        <w:t>3 -</w:t>
      </w:r>
    </w:p>
    <w:p>
      <w:pPr>
        <w:sectPr>
          <w:pgSz w:w="11900" w:h="16838" w:orient="portrait"/>
          <w:cols w:equalWidth="0" w:num="1">
            <w:col w:w="10609"/>
          </w:cols>
          <w:pgMar w:left="951" w:top="1440" w:right="339" w:bottom="1440" w:gutter="0" w:footer="0" w:header="0"/>
        </w:sectPr>
      </w:pPr>
    </w:p>
    <w:bookmarkStart w:id="176" w:name="page177"/>
    <w:bookmarkEnd w:id="176"/>
    <w:p>
      <w:pPr>
        <w:spacing w:after="0" w:line="154" w:lineRule="exact"/>
        <w:rPr>
          <w:sz w:val="20"/>
          <w:szCs w:val="20"/>
          <w:color w:val="auto"/>
        </w:rPr>
      </w:pPr>
    </w:p>
    <w:p>
      <w:pPr>
        <w:jc w:val="both"/>
        <w:ind w:left="1520" w:hanging="380"/>
        <w:spacing w:after="0" w:line="224" w:lineRule="auto"/>
        <w:tabs>
          <w:tab w:leader="none" w:pos="151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a trust for the benefit of such holder of Class B Shares or its Family Members so long as such holder of Class B Shares and/or its Family Members have sole dispositive power and exclusive ability to vote the Class B Shares held by such trust;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Transfer does not involve any payment of cash, securities, property or other consideration to the holder of Class B Shares or its Family Members,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the event such holder of Class B Shares and/or its Family Members no longer have sole dispositive power and exclusive ability to vote with respect to the Class B Shares so Transferred to such trust, each such Class B Share shall therefore automatically, without any further action, convert into one (1) fully paid and non-assessable Class A Share;</w:t>
      </w:r>
    </w:p>
    <w:p>
      <w:pPr>
        <w:spacing w:after="0" w:line="44" w:lineRule="exact"/>
        <w:rPr>
          <w:rFonts w:ascii="Arial" w:cs="Arial" w:eastAsia="Arial" w:hAnsi="Arial"/>
          <w:sz w:val="18"/>
          <w:szCs w:val="18"/>
          <w:color w:val="auto"/>
        </w:rPr>
      </w:pPr>
    </w:p>
    <w:p>
      <w:pPr>
        <w:jc w:val="both"/>
        <w:ind w:left="1520" w:hanging="380"/>
        <w:spacing w:after="0" w:line="226" w:lineRule="auto"/>
        <w:tabs>
          <w:tab w:leader="none" w:pos="151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such Shareholder is a trust, the beneficiaries or trustee of such trust; so long as the original grantor of the trust (the “</w:t>
      </w:r>
      <w:r>
        <w:rPr>
          <w:rFonts w:ascii="Arial" w:cs="Arial" w:eastAsia="Arial" w:hAnsi="Arial"/>
          <w:sz w:val="18"/>
          <w:szCs w:val="18"/>
          <w:u w:val="single" w:color="auto"/>
          <w:color w:val="auto"/>
        </w:rPr>
        <w:t>Grantor</w:t>
      </w:r>
      <w:r>
        <w:rPr>
          <w:rFonts w:ascii="Arial" w:cs="Arial" w:eastAsia="Arial" w:hAnsi="Arial"/>
          <w:sz w:val="18"/>
          <w:szCs w:val="18"/>
          <w:color w:val="auto"/>
        </w:rPr>
        <w:t xml:space="preserve">”) and/or Family Members of such Grantor have sole dispositive power and exclusive ability to vote the Class B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Grantor and/or Family Members of such Grantor no longer have sole dispositive power and exclusive ability to vote with respect to the Class B Shares so Transferred, each such Class B Share shall therefore automatically, without any further action, convert into one (1) fully paid and non-assessable Class A Share;</w:t>
      </w:r>
    </w:p>
    <w:p>
      <w:pPr>
        <w:spacing w:after="0" w:line="49" w:lineRule="exact"/>
        <w:rPr>
          <w:rFonts w:ascii="Arial" w:cs="Arial" w:eastAsia="Arial" w:hAnsi="Arial"/>
          <w:sz w:val="18"/>
          <w:szCs w:val="18"/>
          <w:color w:val="auto"/>
        </w:rPr>
      </w:pPr>
    </w:p>
    <w:p>
      <w:pPr>
        <w:jc w:val="both"/>
        <w:ind w:left="1520" w:hanging="380"/>
        <w:spacing w:after="0" w:line="220" w:lineRule="auto"/>
        <w:tabs>
          <w:tab w:leader="none" w:pos="151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a company, corporation, partnership or limited liability company in which such holder of Class B Shares and/or its Family Members directly, or indirectly through one or more Permitted Transferees thereof, own shares, partnership interests or membership interests, as applicable, with sufficient voting control in the company, corporation, partnership or limited liability company, as applicable, or otherwise have legally enforceable rights, such that the holder of Class B Shares and/or its Family Members retain sole dispositive power and exclusive ability to vote with respect to the Class B Shares so Transferred;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such holder of Class B Shares and/or its Family Members no longer own sufficient shares, partnership interests or membership interests, as applicable, or no longer have sufficient legally enforceable rights to ensure such holder of Class B Shares and/or its Family Members retain sole dispositive power and exclusive ability to vote with respect to the Class B Shares so Transferred to such company, corporation, partnership or limited liability company, as applicable, then each such Class B Share then held by such company, corporation, partnership or limited liability company, as applicable shall therefore automatically, without any further action, convert into one (1) fully paid and nonassessable Class A Share; or</w:t>
      </w:r>
    </w:p>
    <w:p>
      <w:pPr>
        <w:spacing w:after="0" w:line="46" w:lineRule="exact"/>
        <w:rPr>
          <w:rFonts w:ascii="Arial" w:cs="Arial" w:eastAsia="Arial" w:hAnsi="Arial"/>
          <w:sz w:val="18"/>
          <w:szCs w:val="18"/>
          <w:color w:val="auto"/>
        </w:rPr>
      </w:pPr>
    </w:p>
    <w:p>
      <w:pPr>
        <w:jc w:val="both"/>
        <w:ind w:left="1520" w:hanging="380"/>
        <w:spacing w:after="0" w:line="215" w:lineRule="auto"/>
        <w:tabs>
          <w:tab w:leader="none" w:pos="1517"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an Affiliate of a holder of Class B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holder of Class B Shares retains, directly or indirectly, sole dispositive power and exclusive voting control with respect to the Class B Shares following such Transfer;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the event such holder of Class B Shares no longer has sole dispositive power and exclusive voting control with respect to the Class B Shares so Transferred to such Affiliate, each such Class B Share Transferred to such Affiliate shall automatically, without any further action, convert into one (1) Class A Share.</w:t>
      </w:r>
    </w:p>
    <w:p>
      <w:pPr>
        <w:spacing w:after="0" w:line="44" w:lineRule="exact"/>
        <w:rPr>
          <w:rFonts w:ascii="Arial" w:cs="Arial" w:eastAsia="Arial" w:hAnsi="Arial"/>
          <w:sz w:val="19"/>
          <w:szCs w:val="19"/>
          <w:color w:val="auto"/>
        </w:rPr>
      </w:pPr>
    </w:p>
    <w:p>
      <w:pPr>
        <w:jc w:val="both"/>
        <w:ind w:left="1140" w:right="120" w:hanging="877"/>
        <w:spacing w:after="0" w:line="226" w:lineRule="auto"/>
        <w:tabs>
          <w:tab w:leader="none" w:pos="113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date specified by a written notice and certification request of the Company to the holder of such Class B Shares requesting a certification, in a form satisfactory to the Company, verifying such holder’s ownership of Class B Shares and confirming that 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8" w:lineRule="exact"/>
        <w:rPr>
          <w:rFonts w:ascii="Arial" w:cs="Arial" w:eastAsia="Arial" w:hAnsi="Arial"/>
          <w:sz w:val="19"/>
          <w:szCs w:val="19"/>
          <w:color w:val="auto"/>
        </w:rPr>
      </w:pPr>
    </w:p>
    <w:p>
      <w:pPr>
        <w:ind w:left="4460" w:hanging="89"/>
        <w:spacing w:after="0"/>
        <w:tabs>
          <w:tab w:leader="none" w:pos="446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4 -</w:t>
      </w:r>
    </w:p>
    <w:p>
      <w:pPr>
        <w:sectPr>
          <w:pgSz w:w="11900" w:h="16838" w:orient="portrait"/>
          <w:cols w:equalWidth="0" w:num="1">
            <w:col w:w="9620"/>
          </w:cols>
          <w:pgMar w:left="1440" w:top="1440" w:right="839" w:bottom="1440" w:gutter="0" w:footer="0" w:header="0"/>
        </w:sectPr>
      </w:pPr>
    </w:p>
    <w:bookmarkStart w:id="177" w:name="page178"/>
    <w:bookmarkEnd w:id="177"/>
    <w:p>
      <w:pPr>
        <w:spacing w:after="0" w:line="154" w:lineRule="exact"/>
        <w:rPr>
          <w:sz w:val="20"/>
          <w:szCs w:val="20"/>
          <w:color w:val="auto"/>
        </w:rPr>
      </w:pPr>
    </w:p>
    <w:p>
      <w:pPr>
        <w:jc w:val="both"/>
        <w:ind w:left="1629" w:right="620"/>
        <w:spacing w:after="0" w:line="248" w:lineRule="auto"/>
        <w:rPr>
          <w:sz w:val="20"/>
          <w:szCs w:val="20"/>
          <w:color w:val="auto"/>
        </w:rPr>
      </w:pPr>
      <w:r>
        <w:rPr>
          <w:rFonts w:ascii="Arial" w:cs="Arial" w:eastAsia="Arial" w:hAnsi="Arial"/>
          <w:sz w:val="17"/>
          <w:szCs w:val="17"/>
          <w:color w:val="auto"/>
        </w:rPr>
        <w:t xml:space="preserve">conversion to Class A Shares has not occurred, which date shall not be less than thirty (30) calendar days after the date of such notice and certification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automatic conversion pursuant to this subsection (ii) shall occur in the case of a holder of Class B Shares or its Permitted Transferees that furnishes a certification satisfactory to the Company prior to the specified date.</w:t>
      </w:r>
    </w:p>
    <w:p>
      <w:pPr>
        <w:spacing w:after="0" w:line="40" w:lineRule="exact"/>
        <w:rPr>
          <w:sz w:val="20"/>
          <w:szCs w:val="20"/>
          <w:color w:val="auto"/>
        </w:rPr>
      </w:pPr>
    </w:p>
    <w:p>
      <w:pPr>
        <w:jc w:val="both"/>
        <w:ind w:left="1629" w:right="620" w:hanging="877"/>
        <w:spacing w:after="0" w:line="232" w:lineRule="auto"/>
        <w:tabs>
          <w:tab w:leader="none" w:pos="162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with respect to each holder of Class B Shares and its Permitted Transferees, on the date such holder and its Permitted Transferees ceases to hold at least 50% of the number of Class B Shares held by such holder of Class B Shares at the Effective Time, all of such holder’s and its Permitted Transferees Class B Shares shall automatically, without any further action convert into an equal number of Class A Shares.</w:t>
      </w:r>
    </w:p>
    <w:p>
      <w:pPr>
        <w:spacing w:after="0" w:line="47" w:lineRule="exact"/>
        <w:rPr>
          <w:rFonts w:ascii="Arial" w:cs="Arial" w:eastAsia="Arial" w:hAnsi="Arial"/>
          <w:sz w:val="18"/>
          <w:szCs w:val="18"/>
          <w:color w:val="auto"/>
        </w:rPr>
      </w:pPr>
    </w:p>
    <w:p>
      <w:pPr>
        <w:jc w:val="both"/>
        <w:ind w:left="9" w:hanging="9"/>
        <w:spacing w:after="0" w:line="217" w:lineRule="auto"/>
        <w:tabs>
          <w:tab w:leader="none" w:pos="63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Conversion upon Death or Incapacity</w:t>
      </w:r>
      <w:r>
        <w:rPr>
          <w:rFonts w:ascii="Arial" w:cs="Arial" w:eastAsia="Arial" w:hAnsi="Arial"/>
          <w:sz w:val="19"/>
          <w:szCs w:val="19"/>
          <w:color w:val="auto"/>
        </w:rPr>
        <w:t>. Each Class B Share held of record by a natural person, or by such holder of Class B Share’s Permitted Transferees, shall automatically, without any further action, convert into one (1) Class A Share upon the death or Incapacity (as defined below) of such holder of Class B Shares. In the event of a dispute regarding whether a Class B Shareholder has suffered an Incapacity, no Incapacity of such holder will be deemed to have occurred unless and until an affirmative ruling regarding such Incapacity has been made by a court of competent jurisdiction.</w:t>
      </w:r>
    </w:p>
    <w:p>
      <w:pPr>
        <w:spacing w:after="0" w:line="45" w:lineRule="exact"/>
        <w:rPr>
          <w:rFonts w:ascii="Arial" w:cs="Arial" w:eastAsia="Arial" w:hAnsi="Arial"/>
          <w:sz w:val="19"/>
          <w:szCs w:val="19"/>
          <w:color w:val="auto"/>
        </w:rPr>
      </w:pPr>
    </w:p>
    <w:p>
      <w:pPr>
        <w:jc w:val="both"/>
        <w:ind w:left="9" w:hanging="9"/>
        <w:spacing w:after="0" w:line="234" w:lineRule="auto"/>
        <w:tabs>
          <w:tab w:leader="none" w:pos="643"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Automatic Conversion of All Outstanding Class B Shares</w:t>
      </w:r>
      <w:r>
        <w:rPr>
          <w:rFonts w:ascii="Arial" w:cs="Arial" w:eastAsia="Arial" w:hAnsi="Arial"/>
          <w:sz w:val="17"/>
          <w:szCs w:val="17"/>
          <w:color w:val="auto"/>
        </w:rPr>
        <w:t>. Each one (1) issued and outstanding Class B Share shall automatically, without any further action, convert into one (1) Class A Share upon (i) the date specified by affirmative vote or written consent of the holders of at least seventy-five percent (75%) of the outstanding Class B Shares, voting or acting as a separate class, or</w:t>
      </w:r>
    </w:p>
    <w:p>
      <w:pPr>
        <w:jc w:val="both"/>
        <w:ind w:left="9" w:firstLine="2"/>
        <w:spacing w:after="0" w:line="220" w:lineRule="auto"/>
        <w:tabs>
          <w:tab w:leader="none" w:pos="32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date that is 180 days after the first date on which the total number of Class B Shares issued and outstanding is less than 5,000,000 (subject to adjustments for any share splits, reverse share splits, share dividend or other similar changes to Company’s share capital), or if such date is not a Trading Day, then on the next Trading Day.</w:t>
      </w:r>
    </w:p>
    <w:p>
      <w:pPr>
        <w:spacing w:after="0" w:line="45" w:lineRule="exact"/>
        <w:rPr>
          <w:rFonts w:ascii="Arial" w:cs="Arial" w:eastAsia="Arial" w:hAnsi="Arial"/>
          <w:sz w:val="19"/>
          <w:szCs w:val="19"/>
          <w:color w:val="auto"/>
        </w:rPr>
      </w:pPr>
    </w:p>
    <w:p>
      <w:pPr>
        <w:jc w:val="both"/>
        <w:ind w:left="9" w:hanging="9"/>
        <w:spacing w:after="0" w:line="226"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The Company may, from time to time, establish such policies and procedures relating to the conversion of Class B Shares to Class A Shares and the general administration of this dual class share structure, including the issuance of share certificates (or the establishment of book-entry positions) with respect thereto, as it may deem necessary or advisable, and may request that holders of Class B Shares furnish affidavits or other proof to the Company as it deems necessary to verify the ownership of Class B Shares and to confirm that a conversion to Class A Shares has not occurred. A determination by the Secretary or the General Counsel of the Company that a Transfer results in a conversion to Class A Shares shall be conclusive and binding.</w:t>
      </w:r>
    </w:p>
    <w:p>
      <w:pPr>
        <w:spacing w:after="0" w:line="49" w:lineRule="exact"/>
        <w:rPr>
          <w:rFonts w:ascii="Arial" w:cs="Arial" w:eastAsia="Arial" w:hAnsi="Arial"/>
          <w:sz w:val="18"/>
          <w:szCs w:val="18"/>
          <w:color w:val="auto"/>
        </w:rPr>
      </w:pPr>
    </w:p>
    <w:p>
      <w:pPr>
        <w:jc w:val="both"/>
        <w:ind w:left="9" w:hanging="9"/>
        <w:spacing w:after="0" w:line="236" w:lineRule="auto"/>
        <w:tabs>
          <w:tab w:leader="none" w:pos="63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Immediate Effect of Conversion</w:t>
      </w:r>
      <w:r>
        <w:rPr>
          <w:rFonts w:ascii="Arial" w:cs="Arial" w:eastAsia="Arial" w:hAnsi="Arial"/>
          <w:sz w:val="17"/>
          <w:szCs w:val="17"/>
          <w:color w:val="auto"/>
        </w:rPr>
        <w:t>. In the event of a conversion of Class B Shares to Class A Shares pursuant to this Article 6, such conversion(s) shall be deemed to have been made either at the time that the Company’s transfer agent receives the written notice required, the time that the Transfer of such shares occurred, the death or Incapacity of the holder of Class B Shares, or upon the events set forth in Article 6(f) above, as applicable. Upon any conversion of Class B Shares to Class A Shares, all rights of the holder of such Class B Shares shall cease and the person or persons in whose names or names the certificate or certificates (or book-entry position(s)) representing the Class B Shares) are to be issued shall be treated for all purposes as having become the record holder or holders of such number of Class A Shares into which such Class B Shares were convertible. Class B Shares that are converted into Class A Shares as provided in this Article 6 shall not be reissued. Any proxy issued with respect to Class B Shares shall, unless otherwise stated in such proxy, continue to apply with respect to the Class A Shares into which the Class B Shares have been converted.</w:t>
      </w:r>
    </w:p>
    <w:p>
      <w:pPr>
        <w:spacing w:after="0" w:line="45" w:lineRule="exact"/>
        <w:rPr>
          <w:rFonts w:ascii="Arial" w:cs="Arial" w:eastAsia="Arial" w:hAnsi="Arial"/>
          <w:sz w:val="17"/>
          <w:szCs w:val="17"/>
          <w:color w:val="auto"/>
        </w:rPr>
      </w:pPr>
    </w:p>
    <w:p>
      <w:pPr>
        <w:jc w:val="both"/>
        <w:ind w:left="9" w:hanging="9"/>
        <w:spacing w:after="0" w:line="238"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and keep available out of its authorized but unissued Class A Shares, solely for the purpose of effecting the conversion of the Class B Shares as provided in this Article 6, such number of its Class A Shares as shall from time to time be sufficient to effect the conversion of all outstanding Class B Shares into Class A Shares.</w:t>
      </w:r>
    </w:p>
    <w:p>
      <w:pPr>
        <w:spacing w:after="0" w:line="46" w:lineRule="exact"/>
        <w:rPr>
          <w:rFonts w:ascii="Arial" w:cs="Arial" w:eastAsia="Arial" w:hAnsi="Arial"/>
          <w:sz w:val="18"/>
          <w:szCs w:val="18"/>
          <w:color w:val="auto"/>
        </w:rPr>
      </w:pPr>
    </w:p>
    <w:p>
      <w:pPr>
        <w:jc w:val="both"/>
        <w:ind w:left="9" w:hanging="9"/>
        <w:spacing w:after="0" w:line="291" w:lineRule="auto"/>
        <w:tabs>
          <w:tab w:leader="none" w:pos="632"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No Further Issuances</w:t>
      </w:r>
      <w:r>
        <w:rPr>
          <w:rFonts w:ascii="Arial" w:cs="Arial" w:eastAsia="Arial" w:hAnsi="Arial"/>
          <w:sz w:val="17"/>
          <w:szCs w:val="17"/>
          <w:color w:val="auto"/>
        </w:rPr>
        <w:t>. Except for the issuance of Class B Shares issuable upon exercise of Rights outstanding at the Effective Time or an issuance per any subdivision or combination, a dividend payable, in accordance with this Article 6, the Company shall not at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4949" w:hanging="89"/>
        <w:spacing w:after="0"/>
        <w:tabs>
          <w:tab w:leader="none" w:pos="4949" w:val="left"/>
        </w:tabs>
        <w:numPr>
          <w:ilvl w:val="3"/>
          <w:numId w:val="106"/>
        </w:numPr>
        <w:rPr>
          <w:rFonts w:ascii="Arial" w:cs="Arial" w:eastAsia="Arial" w:hAnsi="Arial"/>
          <w:sz w:val="16"/>
          <w:szCs w:val="16"/>
          <w:color w:val="auto"/>
        </w:rPr>
      </w:pPr>
      <w:r>
        <w:rPr>
          <w:rFonts w:ascii="Arial" w:cs="Arial" w:eastAsia="Arial" w:hAnsi="Arial"/>
          <w:sz w:val="16"/>
          <w:szCs w:val="16"/>
          <w:color w:val="auto"/>
        </w:rPr>
        <w:t>5 -</w:t>
      </w:r>
    </w:p>
    <w:p>
      <w:pPr>
        <w:sectPr>
          <w:pgSz w:w="11900" w:h="16838" w:orient="portrait"/>
          <w:cols w:equalWidth="0" w:num="1">
            <w:col w:w="10609"/>
          </w:cols>
          <w:pgMar w:left="951" w:top="1440" w:right="339" w:bottom="1440" w:gutter="0" w:footer="0" w:header="0"/>
        </w:sectPr>
      </w:pPr>
    </w:p>
    <w:bookmarkStart w:id="178" w:name="page179"/>
    <w:bookmarkEnd w:id="178"/>
    <w:p>
      <w:pPr>
        <w:spacing w:after="0" w:line="154" w:lineRule="exact"/>
        <w:rPr>
          <w:sz w:val="20"/>
          <w:szCs w:val="20"/>
          <w:color w:val="auto"/>
        </w:rPr>
      </w:pPr>
    </w:p>
    <w:p>
      <w:pPr>
        <w:ind w:left="9"/>
        <w:spacing w:after="0" w:line="237" w:lineRule="auto"/>
        <w:rPr>
          <w:sz w:val="20"/>
          <w:szCs w:val="20"/>
          <w:color w:val="auto"/>
        </w:rPr>
      </w:pPr>
      <w:r>
        <w:rPr>
          <w:rFonts w:ascii="Arial" w:cs="Arial" w:eastAsia="Arial" w:hAnsi="Arial"/>
          <w:sz w:val="19"/>
          <w:szCs w:val="19"/>
          <w:color w:val="auto"/>
        </w:rPr>
        <w:t>any time after the Effective Time issue any additional Class B Shares, unless such issuance is approved by the affirmative vote of the holders of at least seventy-five percent (75%) of the outstanding Class B Shares.</w:t>
      </w:r>
    </w:p>
    <w:p>
      <w:pPr>
        <w:spacing w:after="0" w:line="45" w:lineRule="exact"/>
        <w:rPr>
          <w:sz w:val="20"/>
          <w:szCs w:val="20"/>
          <w:color w:val="auto"/>
        </w:rPr>
      </w:pPr>
    </w:p>
    <w:p>
      <w:pPr>
        <w:jc w:val="both"/>
        <w:ind w:left="9" w:hanging="9"/>
        <w:spacing w:after="0" w:line="217" w:lineRule="auto"/>
        <w:tabs>
          <w:tab w:leader="none" w:pos="63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Notwithstanding anything to the contrary herein, this Article 6 may only be amended, replaced or suspended by both (a) a resolution adopted at a General Meeting by a majority of the total voting power present and voting at such General Meeting, and (b) a resolution adopted at a separate class meeting of the Class B Shares by seventy-five percent (75%) of the total voting power of the then issued and outstanding Class B Shares or the written consent of holders of at least seventy-five percent (75%) of the total voting power of the then issued and outstanding Class B Shares.</w:t>
      </w:r>
    </w:p>
    <w:p>
      <w:pPr>
        <w:spacing w:after="0" w:line="45" w:lineRule="exact"/>
        <w:rPr>
          <w:rFonts w:ascii="Arial" w:cs="Arial" w:eastAsia="Arial" w:hAnsi="Arial"/>
          <w:sz w:val="19"/>
          <w:szCs w:val="19"/>
          <w:color w:val="auto"/>
        </w:rPr>
      </w:pPr>
    </w:p>
    <w:p>
      <w:pPr>
        <w:ind w:left="9" w:hanging="9"/>
        <w:spacing w:after="0" w:line="237" w:lineRule="auto"/>
        <w:tabs>
          <w:tab w:leader="none" w:pos="632"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In this Article 6, the following terms (whether or not capitalized) shall bear the meanings set forth opposite them, respectively, unless the subject or context requires otherwise:</w:t>
      </w:r>
    </w:p>
    <w:p>
      <w:pPr>
        <w:spacing w:after="0" w:line="45" w:lineRule="exact"/>
        <w:rPr>
          <w:rFonts w:ascii="Arial" w:cs="Arial" w:eastAsia="Arial" w:hAnsi="Arial"/>
          <w:sz w:val="19"/>
          <w:szCs w:val="19"/>
          <w:color w:val="auto"/>
        </w:rPr>
      </w:pPr>
    </w:p>
    <w:p>
      <w:pPr>
        <w:jc w:val="both"/>
        <w:ind w:left="1629" w:right="260" w:hanging="877"/>
        <w:spacing w:after="0" w:line="220" w:lineRule="auto"/>
        <w:tabs>
          <w:tab w:leader="none" w:pos="1624" w:val="left"/>
        </w:tabs>
        <w:numPr>
          <w:ilvl w:val="1"/>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specified person, any other person who or which, directly or indirectly, controls, is controlled by, or is under common control with such specified person, including, without limitation, any investment fund that is controlled by the same general partner or managing member with such person.</w:t>
      </w:r>
    </w:p>
    <w:p>
      <w:pPr>
        <w:spacing w:after="0" w:line="46" w:lineRule="exact"/>
        <w:rPr>
          <w:rFonts w:ascii="Arial" w:cs="Arial" w:eastAsia="Arial" w:hAnsi="Arial"/>
          <w:sz w:val="19"/>
          <w:szCs w:val="19"/>
          <w:color w:val="auto"/>
        </w:rPr>
      </w:pPr>
    </w:p>
    <w:p>
      <w:pPr>
        <w:jc w:val="both"/>
        <w:ind w:left="1629" w:right="240" w:hanging="877"/>
        <w:spacing w:after="0" w:line="218" w:lineRule="auto"/>
        <w:tabs>
          <w:tab w:leader="none" w:pos="162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Transaction</w:t>
      </w:r>
      <w:r>
        <w:rPr>
          <w:rFonts w:ascii="Arial" w:cs="Arial" w:eastAsia="Arial" w:hAnsi="Arial"/>
          <w:sz w:val="18"/>
          <w:szCs w:val="18"/>
          <w:color w:val="auto"/>
        </w:rPr>
        <w:t xml:space="preserve">” means (i)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 in each case as outstanding immediately after such merger, consolidation, business combination, or other similar transaction, and the shareholders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(vis-à-vis each other) as such shareholders owned the voting securities of the Company immediately prior to the transaction; (ii) a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w:t>
      </w:r>
      <w:r>
        <w:rPr>
          <w:rFonts w:ascii="Arial" w:cs="Arial" w:eastAsia="Arial" w:hAnsi="Arial"/>
          <w:sz w:val="18"/>
          <w:szCs w:val="18"/>
          <w:i w:val="1"/>
          <w:iCs w:val="1"/>
          <w:color w:val="auto"/>
        </w:rPr>
        <w:t>and</w:t>
      </w:r>
      <w:r>
        <w:rPr>
          <w:rFonts w:ascii="Arial" w:cs="Arial" w:eastAsia="Arial" w:hAnsi="Arial"/>
          <w:sz w:val="18"/>
          <w:szCs w:val="18"/>
          <w:color w:val="auto"/>
        </w:rPr>
        <w:t xml:space="preserve"> more than fifty percent (50%) of the total number of outstanding Shares of the Company, in each case as outstanding immediately after such recapitalization, liquidation, dissolution or other similar transaction, and the shareholders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(vis-à-vis each other) as such shareholders owned the voting securities of the Company immediately prior to the transaction.</w:t>
      </w:r>
    </w:p>
    <w:p>
      <w:pPr>
        <w:spacing w:after="0" w:line="48" w:lineRule="exact"/>
        <w:rPr>
          <w:rFonts w:ascii="Arial" w:cs="Arial" w:eastAsia="Arial" w:hAnsi="Arial"/>
          <w:sz w:val="18"/>
          <w:szCs w:val="18"/>
          <w:color w:val="auto"/>
        </w:rPr>
      </w:pPr>
    </w:p>
    <w:p>
      <w:pPr>
        <w:ind w:left="1629" w:right="260" w:hanging="877"/>
        <w:spacing w:after="0" w:line="237" w:lineRule="auto"/>
        <w:tabs>
          <w:tab w:leader="none" w:pos="162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Time</w:t>
      </w:r>
      <w:r>
        <w:rPr>
          <w:rFonts w:ascii="Arial" w:cs="Arial" w:eastAsia="Arial" w:hAnsi="Arial"/>
          <w:sz w:val="19"/>
          <w:szCs w:val="19"/>
          <w:color w:val="auto"/>
        </w:rPr>
        <w:t>” shall mean the closing of the Company’s underwritten initial public offering of its Class A Shares.</w:t>
      </w:r>
    </w:p>
    <w:p>
      <w:pPr>
        <w:spacing w:after="0" w:line="45" w:lineRule="exact"/>
        <w:rPr>
          <w:rFonts w:ascii="Arial" w:cs="Arial" w:eastAsia="Arial" w:hAnsi="Arial"/>
          <w:sz w:val="19"/>
          <w:szCs w:val="19"/>
          <w:color w:val="auto"/>
        </w:rPr>
      </w:pPr>
    </w:p>
    <w:p>
      <w:pPr>
        <w:ind w:left="1629" w:right="260" w:hanging="877"/>
        <w:spacing w:after="0" w:line="237" w:lineRule="auto"/>
        <w:tabs>
          <w:tab w:leader="none" w:pos="1628" w:val="left"/>
        </w:tabs>
        <w:numPr>
          <w:ilvl w:val="1"/>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Family Member</w:t>
      </w:r>
      <w:r>
        <w:rPr>
          <w:rFonts w:ascii="Arial" w:cs="Arial" w:eastAsia="Arial" w:hAnsi="Arial"/>
          <w:sz w:val="19"/>
          <w:szCs w:val="19"/>
          <w:color w:val="auto"/>
        </w:rPr>
        <w:t>” with respect to a holder of Class B Shares who is a natural person shall include, the spouse, domestic partner, parents, children or siblings of such holder of Class B Shares.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9" w:lineRule="exact"/>
        <w:rPr>
          <w:rFonts w:ascii="Arial" w:cs="Arial" w:eastAsia="Arial" w:hAnsi="Arial"/>
          <w:sz w:val="19"/>
          <w:szCs w:val="19"/>
          <w:color w:val="auto"/>
        </w:rPr>
      </w:pPr>
    </w:p>
    <w:p>
      <w:pPr>
        <w:ind w:left="4949" w:hanging="89"/>
        <w:spacing w:after="0"/>
        <w:tabs>
          <w:tab w:leader="none" w:pos="4949" w:val="left"/>
        </w:tabs>
        <w:numPr>
          <w:ilvl w:val="2"/>
          <w:numId w:val="107"/>
        </w:numPr>
        <w:rPr>
          <w:rFonts w:ascii="Arial" w:cs="Arial" w:eastAsia="Arial" w:hAnsi="Arial"/>
          <w:sz w:val="16"/>
          <w:szCs w:val="16"/>
          <w:color w:val="auto"/>
        </w:rPr>
      </w:pPr>
      <w:r>
        <w:rPr>
          <w:rFonts w:ascii="Arial" w:cs="Arial" w:eastAsia="Arial" w:hAnsi="Arial"/>
          <w:sz w:val="16"/>
          <w:szCs w:val="16"/>
          <w:color w:val="auto"/>
        </w:rPr>
        <w:t>6 -</w:t>
      </w:r>
    </w:p>
    <w:p>
      <w:pPr>
        <w:sectPr>
          <w:pgSz w:w="11900" w:h="16838" w:orient="portrait"/>
          <w:cols w:equalWidth="0" w:num="1">
            <w:col w:w="10609"/>
          </w:cols>
          <w:pgMar w:left="951" w:top="1440" w:right="339" w:bottom="1440" w:gutter="0" w:footer="0" w:header="0"/>
        </w:sectPr>
      </w:pPr>
    </w:p>
    <w:bookmarkStart w:id="179" w:name="page180"/>
    <w:bookmarkEnd w:id="179"/>
    <w:p>
      <w:pPr>
        <w:spacing w:after="0" w:line="154" w:lineRule="exact"/>
        <w:rPr>
          <w:sz w:val="20"/>
          <w:szCs w:val="20"/>
          <w:color w:val="auto"/>
        </w:rPr>
      </w:pPr>
    </w:p>
    <w:p>
      <w:pPr>
        <w:jc w:val="both"/>
        <w:ind w:left="1140" w:right="20" w:hanging="877"/>
        <w:spacing w:after="0" w:line="226" w:lineRule="auto"/>
        <w:tabs>
          <w:tab w:leader="none" w:pos="118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Incapacity</w:t>
      </w:r>
      <w:r>
        <w:rPr>
          <w:rFonts w:ascii="Arial" w:cs="Arial" w:eastAsia="Arial" w:hAnsi="Arial"/>
          <w:sz w:val="18"/>
          <w:szCs w:val="18"/>
          <w:color w:val="auto"/>
        </w:rPr>
        <w:t>” shall mean that such holder is incapable of managing his or her financial affairs under the criteria set forth in the applicable probate code that can be expected to result in death or which has lasted or can be expected to last for a continuous period of not less than six (6) months as determined by a licensed medical practitioner. In the event of a dispute regarding whether a holder of Class B Shares has suffered an Incapacity, no Incapacity of such holder will be deemed to have occurred unless and until an affirmative ruling regarding such Incapacity has been made by a court of competent jurisdiction.</w:t>
      </w:r>
    </w:p>
    <w:p>
      <w:pPr>
        <w:spacing w:after="0" w:line="49" w:lineRule="exact"/>
        <w:rPr>
          <w:rFonts w:ascii="Arial" w:cs="Arial" w:eastAsia="Arial" w:hAnsi="Arial"/>
          <w:sz w:val="18"/>
          <w:szCs w:val="18"/>
          <w:color w:val="auto"/>
        </w:rPr>
      </w:pPr>
    </w:p>
    <w:p>
      <w:pPr>
        <w:ind w:left="1140" w:right="20" w:hanging="877"/>
        <w:spacing w:after="0" w:line="237" w:lineRule="auto"/>
        <w:tabs>
          <w:tab w:leader="none" w:pos="11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Rights</w:t>
      </w:r>
      <w:r>
        <w:rPr>
          <w:rFonts w:ascii="Arial" w:cs="Arial" w:eastAsia="Arial" w:hAnsi="Arial"/>
          <w:sz w:val="19"/>
          <w:szCs w:val="19"/>
          <w:color w:val="auto"/>
        </w:rPr>
        <w:t>” shall mean any option, warrant, restricted share unit, conversion right or contractual right of any kind to acquire Shares of the Company.</w:t>
      </w:r>
    </w:p>
    <w:p>
      <w:pPr>
        <w:spacing w:after="0" w:line="45" w:lineRule="exact"/>
        <w:rPr>
          <w:rFonts w:ascii="Arial" w:cs="Arial" w:eastAsia="Arial" w:hAnsi="Arial"/>
          <w:sz w:val="19"/>
          <w:szCs w:val="19"/>
          <w:color w:val="auto"/>
        </w:rPr>
      </w:pPr>
    </w:p>
    <w:p>
      <w:pPr>
        <w:ind w:left="1140" w:right="20" w:hanging="877"/>
        <w:spacing w:after="0" w:line="237" w:lineRule="auto"/>
        <w:tabs>
          <w:tab w:leader="none" w:pos="112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Date</w:t>
      </w:r>
      <w:r>
        <w:rPr>
          <w:rFonts w:ascii="Arial" w:cs="Arial" w:eastAsia="Arial" w:hAnsi="Arial"/>
          <w:sz w:val="19"/>
          <w:szCs w:val="19"/>
          <w:color w:val="auto"/>
        </w:rPr>
        <w:t>” shall mean any day on which the main securities exchange in which the Class A Shares are listed for trading is open for trading.</w:t>
      </w:r>
    </w:p>
    <w:p>
      <w:pPr>
        <w:spacing w:after="0" w:line="45" w:lineRule="exact"/>
        <w:rPr>
          <w:rFonts w:ascii="Arial" w:cs="Arial" w:eastAsia="Arial" w:hAnsi="Arial"/>
          <w:sz w:val="19"/>
          <w:szCs w:val="19"/>
          <w:color w:val="auto"/>
        </w:rPr>
      </w:pPr>
    </w:p>
    <w:p>
      <w:pPr>
        <w:jc w:val="both"/>
        <w:ind w:left="1140" w:hanging="877"/>
        <w:spacing w:after="0" w:line="239" w:lineRule="auto"/>
        <w:tabs>
          <w:tab w:leader="none" w:pos="112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with respect to a Class B Share shall mean any sale, assignment, transfer, conveyance, hypothecation or other transfer or disposition of such share or any legal or beneficial interest in such share, whether or not for value and whether voluntary or involuntary or by operation of law or court order (including any such order that results in the designation of any other person which is not a Permitted Transferee to exercise the voting rights attached to the Class B Share).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shall also include, without limitation, (i) a transfer of a Class B Share to a broker or other nominee (regardless of whether or not there is a corresponding change in beneficial ownership) or (ii) the transfer of, or entering into a binding agreement with respect, directly or indirectly, to voting over a Class B Share by proxy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following shall not be considered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(a) the grant of a proxy to officers or directors of the Company at the request of the Board of Directors of the Company in connection with actions to be taken at any General Meeting; (b) entering into a voting agreement that provides for the grant of a voting proxy to the Chief Executive Officer of the Company; (c) the pledge of Class B Shares by a holder of Class B Shares that creates a mere security interest in such shares pursuant to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loan or indebtedness transaction so long as the holder of Class B Shares continues to exercise exclusive voting control over such pledged shares; </w:t>
      </w:r>
      <w:r>
        <w:rPr>
          <w:rFonts w:ascii="Arial" w:cs="Arial" w:eastAsia="Arial" w:hAnsi="Arial"/>
          <w:sz w:val="17"/>
          <w:szCs w:val="17"/>
          <w:i w:val="1"/>
          <w:iCs w:val="1"/>
          <w:color w:val="auto"/>
        </w:rPr>
        <w:t>provided, however</w:t>
      </w:r>
      <w:r>
        <w:rPr>
          <w:rFonts w:ascii="Arial" w:cs="Arial" w:eastAsia="Arial" w:hAnsi="Arial"/>
          <w:sz w:val="17"/>
          <w:szCs w:val="17"/>
          <w:color w:val="auto"/>
        </w:rPr>
        <w:t>, that a foreclosure on such Class B Shares or other similar action under or in connection with the pledge shall constitute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(d) the fact that, at any time the spouse of any holder of Class B Shares possesses or obtains an interest in such holder’s Class B Shares arising solely by reason of the application of the community property laws of any jurisdiction, so long as no other event or circumstance shall exist or have occurred that constitutes a “Transfer” of such Class B Shares, provided that any transfer of Shares by any holder of Class B Shares to such </w:t>
      </w:r>
      <w:r>
        <w:rPr>
          <w:rFonts w:ascii="Arial" w:cs="Arial" w:eastAsia="Arial" w:hAnsi="Arial"/>
          <w:sz w:val="17"/>
          <w:szCs w:val="17"/>
          <w:color w:val="auto"/>
          <w:highlight w:val="white"/>
        </w:rPr>
        <w:t>holder’s spouse, including a transfer in connection with a divorce proceeding, domestic relations order or similar legal requirement, shall constitute a “</w:t>
      </w:r>
      <w:r>
        <w:rPr>
          <w:rFonts w:ascii="Arial" w:cs="Arial" w:eastAsia="Arial" w:hAnsi="Arial"/>
          <w:sz w:val="17"/>
          <w:szCs w:val="17"/>
          <w:u w:val="single" w:color="auto"/>
          <w:color w:val="auto"/>
          <w:highlight w:val="white"/>
        </w:rPr>
        <w:t>Transfer</w:t>
      </w:r>
      <w:r>
        <w:rPr>
          <w:rFonts w:ascii="Arial" w:cs="Arial" w:eastAsia="Arial" w:hAnsi="Arial"/>
          <w:sz w:val="17"/>
          <w:szCs w:val="17"/>
          <w:color w:val="auto"/>
          <w:highlight w:val="white"/>
        </w:rPr>
        <w:t xml:space="preserve">” of such </w:t>
      </w:r>
      <w:r>
        <w:rPr>
          <w:rFonts w:ascii="Arial" w:cs="Arial" w:eastAsia="Arial" w:hAnsi="Arial"/>
          <w:sz w:val="17"/>
          <w:szCs w:val="17"/>
          <w:color w:val="auto"/>
        </w:rPr>
        <w:t>Class B</w:t>
      </w:r>
      <w:r>
        <w:rPr>
          <w:rFonts w:ascii="Arial" w:cs="Arial" w:eastAsia="Arial" w:hAnsi="Arial"/>
          <w:sz w:val="17"/>
          <w:szCs w:val="17"/>
          <w:color w:val="auto"/>
          <w:highlight w:val="white"/>
        </w:rPr>
        <w:t xml:space="preserve"> Shares unless otherwise exempt from the definition of Transfer</w:t>
      </w:r>
      <w:r>
        <w:rPr>
          <w:rFonts w:ascii="Arial" w:cs="Arial" w:eastAsia="Arial" w:hAnsi="Arial"/>
          <w:sz w:val="17"/>
          <w:szCs w:val="17"/>
          <w:color w:val="auto"/>
        </w:rPr>
        <w:t>; (e) entering into a trading plan pursuant to Rule 10b5-1 under the U.S. Securities</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Exchange Act of 1934, as amended, with a broker or other nominee;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sale of such Class B Shares pursuant to such plan shall constitute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at the time of such sale; or (f) entering into a support, voting, tender or similar agreement, arrangement or understanding (with or without granting a proxy) in connection with a Change of Control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Change of Control Transaction was approved by the Board of Directors.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4460" w:hanging="89"/>
        <w:spacing w:after="0"/>
        <w:tabs>
          <w:tab w:leader="none" w:pos="44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7 -</w:t>
      </w:r>
    </w:p>
    <w:p>
      <w:pPr>
        <w:sectPr>
          <w:pgSz w:w="11900" w:h="16838" w:orient="portrait"/>
          <w:cols w:equalWidth="0" w:num="1">
            <w:col w:w="9880"/>
          </w:cols>
          <w:pgMar w:left="1440" w:top="1440" w:right="579" w:bottom="1440" w:gutter="0" w:footer="0" w:header="0"/>
        </w:sectPr>
      </w:pPr>
    </w:p>
    <w:bookmarkStart w:id="180" w:name="page181"/>
    <w:bookmarkEnd w:id="180"/>
    <w:p>
      <w:pPr>
        <w:spacing w:after="0" w:line="148" w:lineRule="exact"/>
        <w:rPr>
          <w:sz w:val="20"/>
          <w:szCs w:val="20"/>
          <w:color w:val="auto"/>
        </w:rPr>
      </w:pPr>
    </w:p>
    <w:p>
      <w:pPr>
        <w:ind w:left="614" w:hanging="614"/>
        <w:spacing w:after="0"/>
        <w:tabs>
          <w:tab w:leader="none" w:pos="614"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Increase of Authorized Share Capital</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17" w:lineRule="auto"/>
        <w:tabs>
          <w:tab w:leader="none" w:pos="1263"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Company may, from time to time, by a Shareholders’ resolution, whether or not all of the Shares then authorized have been issued, and whether or not all of the Shares theretofore issued have been called up for payment, increase its authorized share capital by increasing the number of Shares of any class it is authorized to issue. Any such increase shall be in such amount and shall be divided into such class of Shares, which Shares shall confer such rights and preferences, and shall be subject to such restrictions, as such resolution shall provide.</w:t>
      </w:r>
    </w:p>
    <w:p>
      <w:pPr>
        <w:spacing w:after="0" w:line="45" w:lineRule="exact"/>
        <w:rPr>
          <w:rFonts w:ascii="Arial" w:cs="Arial" w:eastAsia="Arial" w:hAnsi="Arial"/>
          <w:sz w:val="19"/>
          <w:szCs w:val="19"/>
          <w:color w:val="auto"/>
        </w:rPr>
      </w:pPr>
    </w:p>
    <w:p>
      <w:pPr>
        <w:jc w:val="both"/>
        <w:ind w:left="634" w:hanging="9"/>
        <w:spacing w:after="0" w:line="226" w:lineRule="auto"/>
        <w:tabs>
          <w:tab w:leader="none" w:pos="126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Except to the extent otherwise provided in such resolution, any new Shares included in the authorized share capital increase as aforesaid shall be subject to all of the provisions of these Articles that are applicable to shares of such class that are included in the existing share capital.</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Special or Class Rights; Modification of Rights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26" w:lineRule="auto"/>
        <w:tabs>
          <w:tab w:leader="none" w:pos="1263"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Company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p>
      <w:pPr>
        <w:spacing w:after="0" w:line="45" w:lineRule="exact"/>
        <w:rPr>
          <w:rFonts w:ascii="Arial" w:cs="Arial" w:eastAsia="Arial" w:hAnsi="Arial"/>
          <w:sz w:val="19"/>
          <w:szCs w:val="19"/>
          <w:color w:val="auto"/>
        </w:rPr>
      </w:pPr>
    </w:p>
    <w:p>
      <w:pPr>
        <w:jc w:val="both"/>
        <w:ind w:left="634" w:hanging="9"/>
        <w:spacing w:after="0" w:line="259" w:lineRule="auto"/>
        <w:tabs>
          <w:tab w:leader="none" w:pos="12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If at any time the share capital of the Company is divided into different classes of shares, the rights attached to any class, unless otherwise provided by these Articles (including Article 6 hereof), may be modified or cancelled by the Company by a resolution of the General Meeting of the holders of all shares as one class, without any required separate resolution of any class of shares.</w:t>
      </w:r>
    </w:p>
    <w:p>
      <w:pPr>
        <w:spacing w:after="0" w:line="29" w:lineRule="exact"/>
        <w:rPr>
          <w:rFonts w:ascii="Arial" w:cs="Arial" w:eastAsia="Arial" w:hAnsi="Arial"/>
          <w:sz w:val="17"/>
          <w:szCs w:val="17"/>
          <w:color w:val="auto"/>
        </w:rPr>
      </w:pPr>
    </w:p>
    <w:p>
      <w:pPr>
        <w:jc w:val="both"/>
        <w:ind w:left="634" w:hanging="9"/>
        <w:spacing w:after="0" w:line="235" w:lineRule="auto"/>
        <w:tabs>
          <w:tab w:leader="none" w:pos="126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The provisions of these Articles relating to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any separate general meeting of the holders of the Shares of a particular class, it being clarified that the requisite quorum at any such separate general meeting shall be two or more Shareholders present in person or by proxy and holding not less than thirty-three and one-third percent (33⅓%) of the issued Shares of such class, provided, however, that if such separate general meeting of the holders of the particular class was initiated by and convened pursuant to a resolution adopted by the Board of Directors (and not pursuant to the request or motion of any other person) and, at such time of the meeting, the Company is qualified to use the forms and rules of a “foreign private issuer” under the US securities laws, the requisite quorum at any such separate general meeting shall be two or more Shareholders (not in default in payment of any sum referred to in Article 14 hereof) present in person or by proxy and holding not less than twenty-five percent (25%) of the issued Shares of such class. For the purpose of determining the quorum present at such General Meeting, a proxy may be deemed to be two (2) or more Shareholders pursuant to the number of Shareholders represented by the proxy holder.</w:t>
      </w:r>
    </w:p>
    <w:p>
      <w:pPr>
        <w:spacing w:after="0" w:line="46" w:lineRule="exact"/>
        <w:rPr>
          <w:rFonts w:ascii="Arial" w:cs="Arial" w:eastAsia="Arial" w:hAnsi="Arial"/>
          <w:sz w:val="17"/>
          <w:szCs w:val="17"/>
          <w:color w:val="auto"/>
        </w:rPr>
      </w:pPr>
    </w:p>
    <w:p>
      <w:pPr>
        <w:jc w:val="both"/>
        <w:ind w:left="634" w:hanging="9"/>
        <w:spacing w:after="0" w:line="220" w:lineRule="auto"/>
        <w:tabs>
          <w:tab w:leader="none" w:pos="126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Unless otherwise provided by these Articles, an increase in the authorized share capital, the creation of a new class of shares, an increase in the authorized share capital of a class of shares, or the issuance of additional shares thereof out of the authorized and unissued share capital, shall not be deemed, for purposes of this Article 8, to modify or derogate or cancel the rights attached to previously issued shares of such class or of any other class.</w:t>
      </w:r>
    </w:p>
    <w:p>
      <w:pPr>
        <w:spacing w:after="0" w:line="40" w:lineRule="exact"/>
        <w:rPr>
          <w:rFonts w:ascii="Arial" w:cs="Arial" w:eastAsia="Arial" w:hAnsi="Arial"/>
          <w:sz w:val="19"/>
          <w:szCs w:val="19"/>
          <w:color w:val="auto"/>
        </w:rPr>
      </w:pPr>
    </w:p>
    <w:p>
      <w:pPr>
        <w:ind w:left="614" w:hanging="614"/>
        <w:spacing w:after="0"/>
        <w:tabs>
          <w:tab w:leader="none" w:pos="614"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Consolidation, Division, Cancellation and Reduction of Share Capital</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34" w:hanging="9"/>
        <w:spacing w:after="0" w:line="237" w:lineRule="auto"/>
        <w:tabs>
          <w:tab w:leader="none" w:pos="1263"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Company may, from time to time, by or pursuant to an authorization of a Shareholders’ resolution, and subject to applicable law:</w:t>
      </w:r>
    </w:p>
    <w:p>
      <w:pPr>
        <w:spacing w:after="0" w:line="45" w:lineRule="exact"/>
        <w:rPr>
          <w:rFonts w:ascii="Arial" w:cs="Arial" w:eastAsia="Arial" w:hAnsi="Arial"/>
          <w:sz w:val="19"/>
          <w:szCs w:val="19"/>
          <w:color w:val="auto"/>
        </w:rPr>
      </w:pPr>
    </w:p>
    <w:p>
      <w:pPr>
        <w:ind w:left="1274" w:hanging="2"/>
        <w:spacing w:after="0" w:line="237" w:lineRule="auto"/>
        <w:tabs>
          <w:tab w:leader="none" w:pos="1908" w:val="left"/>
        </w:tabs>
        <w:numPr>
          <w:ilvl w:val="2"/>
          <w:numId w:val="109"/>
        </w:numPr>
        <w:rPr>
          <w:rFonts w:ascii="Arial" w:cs="Arial" w:eastAsia="Arial" w:hAnsi="Arial"/>
          <w:sz w:val="19"/>
          <w:szCs w:val="19"/>
          <w:color w:val="auto"/>
        </w:rPr>
      </w:pPr>
      <w:r>
        <w:rPr>
          <w:rFonts w:ascii="Arial" w:cs="Arial" w:eastAsia="Arial" w:hAnsi="Arial"/>
          <w:sz w:val="19"/>
          <w:szCs w:val="19"/>
          <w:color w:val="auto"/>
        </w:rPr>
        <w:t>consolidate all or any part of its issued or unissued authorized share capital into shares of a per share nominal value which is larger, equal to or smaller than the per share nominal value of its existing Shares;</w:t>
      </w:r>
    </w:p>
    <w:p>
      <w:pPr>
        <w:spacing w:after="0" w:line="45" w:lineRule="exact"/>
        <w:rPr>
          <w:rFonts w:ascii="Arial" w:cs="Arial" w:eastAsia="Arial" w:hAnsi="Arial"/>
          <w:sz w:val="19"/>
          <w:szCs w:val="19"/>
          <w:color w:val="auto"/>
        </w:rPr>
      </w:pPr>
    </w:p>
    <w:p>
      <w:pPr>
        <w:jc w:val="both"/>
        <w:ind w:left="1274" w:hanging="2"/>
        <w:spacing w:after="0" w:line="217" w:lineRule="auto"/>
        <w:tabs>
          <w:tab w:leader="none" w:pos="1909" w:val="left"/>
        </w:tabs>
        <w:numPr>
          <w:ilvl w:val="2"/>
          <w:numId w:val="109"/>
        </w:numPr>
        <w:rPr>
          <w:rFonts w:ascii="Arial" w:cs="Arial" w:eastAsia="Arial" w:hAnsi="Arial"/>
          <w:sz w:val="19"/>
          <w:szCs w:val="19"/>
          <w:color w:val="auto"/>
        </w:rPr>
      </w:pPr>
      <w:r>
        <w:rPr>
          <w:rFonts w:ascii="Arial" w:cs="Arial" w:eastAsia="Arial" w:hAnsi="Arial"/>
          <w:sz w:val="19"/>
          <w:szCs w:val="19"/>
          <w:color w:val="auto"/>
        </w:rPr>
        <w:t>divide or sub-divide its Shares (issued or unissued) or any of them, into shares of smaller or the same nominal value (subject, however, to the provisions of the Companies Law), and the resolution whereby any share is divided may determine that, as among the holders of the shares resulting from such subdivision, one or more of the shares may, in contrast to others, have any such preferred or deferred rights or rights of redemption or other special rights, or be subject to any such restrictions, as the Company may attach to unissued or new shares;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9" w:lineRule="exact"/>
        <w:rPr>
          <w:rFonts w:ascii="Arial" w:cs="Arial" w:eastAsia="Arial" w:hAnsi="Arial"/>
          <w:sz w:val="19"/>
          <w:szCs w:val="19"/>
          <w:color w:val="auto"/>
        </w:rPr>
      </w:pPr>
    </w:p>
    <w:p>
      <w:pPr>
        <w:ind w:left="5574" w:hanging="89"/>
        <w:spacing w:after="0"/>
        <w:tabs>
          <w:tab w:leader="none" w:pos="5574" w:val="left"/>
        </w:tabs>
        <w:numPr>
          <w:ilvl w:val="3"/>
          <w:numId w:val="109"/>
        </w:numPr>
        <w:rPr>
          <w:rFonts w:ascii="Arial" w:cs="Arial" w:eastAsia="Arial" w:hAnsi="Arial"/>
          <w:sz w:val="16"/>
          <w:szCs w:val="16"/>
          <w:color w:val="auto"/>
        </w:rPr>
      </w:pPr>
      <w:r>
        <w:rPr>
          <w:rFonts w:ascii="Arial" w:cs="Arial" w:eastAsia="Arial" w:hAnsi="Arial"/>
          <w:sz w:val="16"/>
          <w:szCs w:val="16"/>
          <w:color w:val="auto"/>
        </w:rPr>
        <w:t>8 -</w:t>
      </w:r>
    </w:p>
    <w:p>
      <w:pPr>
        <w:sectPr>
          <w:pgSz w:w="11900" w:h="16838" w:orient="portrait"/>
          <w:cols w:equalWidth="0" w:num="1">
            <w:col w:w="11234"/>
          </w:cols>
          <w:pgMar w:left="326" w:top="1440" w:right="339" w:bottom="1440" w:gutter="0" w:footer="0" w:header="0"/>
        </w:sectPr>
      </w:pPr>
    </w:p>
    <w:bookmarkStart w:id="181" w:name="page182"/>
    <w:bookmarkEnd w:id="181"/>
    <w:p>
      <w:pPr>
        <w:spacing w:after="0" w:line="154" w:lineRule="exact"/>
        <w:rPr>
          <w:sz w:val="20"/>
          <w:szCs w:val="20"/>
          <w:color w:val="auto"/>
        </w:rPr>
      </w:pPr>
    </w:p>
    <w:p>
      <w:pPr>
        <w:jc w:val="both"/>
        <w:ind w:left="1274" w:hanging="2"/>
        <w:spacing w:after="0" w:line="226" w:lineRule="auto"/>
        <w:tabs>
          <w:tab w:leader="none" w:pos="1910" w:val="left"/>
        </w:tabs>
        <w:numPr>
          <w:ilvl w:val="2"/>
          <w:numId w:val="110"/>
        </w:numPr>
        <w:rPr>
          <w:rFonts w:ascii="Arial" w:cs="Arial" w:eastAsia="Arial" w:hAnsi="Arial"/>
          <w:sz w:val="19"/>
          <w:szCs w:val="19"/>
          <w:color w:val="auto"/>
        </w:rPr>
      </w:pPr>
      <w:r>
        <w:rPr>
          <w:rFonts w:ascii="Arial" w:cs="Arial" w:eastAsia="Arial" w:hAnsi="Arial"/>
          <w:sz w:val="19"/>
          <w:szCs w:val="19"/>
          <w:color w:val="auto"/>
        </w:rPr>
        <w:t>cancel any authorized Shares which, at the date of the adoption of such resolution, have not been issued to any person nor has the Company made any commitment, including a conditional commitment, to issue such shares, and reduce the amount of its share capital by the amount of the shares so canceled; or</w:t>
      </w:r>
    </w:p>
    <w:p>
      <w:pPr>
        <w:spacing w:after="0" w:line="45" w:lineRule="exact"/>
        <w:rPr>
          <w:rFonts w:ascii="Arial" w:cs="Arial" w:eastAsia="Arial" w:hAnsi="Arial"/>
          <w:sz w:val="19"/>
          <w:szCs w:val="19"/>
          <w:color w:val="auto"/>
        </w:rPr>
      </w:pPr>
    </w:p>
    <w:p>
      <w:pPr>
        <w:ind w:left="1894" w:hanging="622"/>
        <w:spacing w:after="0"/>
        <w:tabs>
          <w:tab w:leader="none" w:pos="1894" w:val="left"/>
        </w:tabs>
        <w:numPr>
          <w:ilvl w:val="2"/>
          <w:numId w:val="110"/>
        </w:numPr>
        <w:rPr>
          <w:rFonts w:ascii="Arial" w:cs="Arial" w:eastAsia="Arial" w:hAnsi="Arial"/>
          <w:sz w:val="19"/>
          <w:szCs w:val="19"/>
          <w:color w:val="auto"/>
        </w:rPr>
      </w:pPr>
      <w:r>
        <w:rPr>
          <w:rFonts w:ascii="Arial" w:cs="Arial" w:eastAsia="Arial" w:hAnsi="Arial"/>
          <w:sz w:val="19"/>
          <w:szCs w:val="19"/>
          <w:color w:val="auto"/>
        </w:rPr>
        <w:t>reduce its share capital in any manner.</w:t>
      </w:r>
    </w:p>
    <w:p>
      <w:pPr>
        <w:spacing w:after="0" w:line="73" w:lineRule="exact"/>
        <w:rPr>
          <w:rFonts w:ascii="Arial" w:cs="Arial" w:eastAsia="Arial" w:hAnsi="Arial"/>
          <w:sz w:val="19"/>
          <w:szCs w:val="19"/>
          <w:color w:val="auto"/>
        </w:rPr>
      </w:pPr>
    </w:p>
    <w:p>
      <w:pPr>
        <w:jc w:val="both"/>
        <w:ind w:left="634" w:hanging="9"/>
        <w:spacing w:after="0" w:line="226" w:lineRule="auto"/>
        <w:tabs>
          <w:tab w:leader="none" w:pos="126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With respect to any consolidation of issued Shares and with respect to any other action which may result in fractional shares, the Board of Directors may settle any difficulty which may arise with regard thereto, as it deems fit, and, in connection with any such consolidation or other action which could result in fractional shares, may, without limiting its aforesaid power:</w:t>
      </w:r>
    </w:p>
    <w:p>
      <w:pPr>
        <w:spacing w:after="0" w:line="45" w:lineRule="exact"/>
        <w:rPr>
          <w:rFonts w:ascii="Arial" w:cs="Arial" w:eastAsia="Arial" w:hAnsi="Arial"/>
          <w:sz w:val="19"/>
          <w:szCs w:val="19"/>
          <w:color w:val="auto"/>
        </w:rPr>
      </w:pPr>
    </w:p>
    <w:p>
      <w:pPr>
        <w:ind w:left="1274" w:hanging="2"/>
        <w:spacing w:after="0" w:line="237" w:lineRule="auto"/>
        <w:tabs>
          <w:tab w:leader="none" w:pos="1908" w:val="left"/>
        </w:tabs>
        <w:numPr>
          <w:ilvl w:val="2"/>
          <w:numId w:val="111"/>
        </w:numPr>
        <w:rPr>
          <w:rFonts w:ascii="Arial" w:cs="Arial" w:eastAsia="Arial" w:hAnsi="Arial"/>
          <w:sz w:val="19"/>
          <w:szCs w:val="19"/>
          <w:color w:val="auto"/>
        </w:rPr>
      </w:pPr>
      <w:r>
        <w:rPr>
          <w:rFonts w:ascii="Arial" w:cs="Arial" w:eastAsia="Arial" w:hAnsi="Arial"/>
          <w:sz w:val="19"/>
          <w:szCs w:val="19"/>
          <w:color w:val="auto"/>
        </w:rPr>
        <w:t>determine, as to the holder of shares so consolidated, which issued shares shall be consolidated into a share of a larger, equal or smaller nominal value per share;</w:t>
      </w:r>
    </w:p>
    <w:p>
      <w:pPr>
        <w:spacing w:after="0" w:line="45" w:lineRule="exact"/>
        <w:rPr>
          <w:rFonts w:ascii="Arial" w:cs="Arial" w:eastAsia="Arial" w:hAnsi="Arial"/>
          <w:sz w:val="19"/>
          <w:szCs w:val="19"/>
          <w:color w:val="auto"/>
        </w:rPr>
      </w:pPr>
    </w:p>
    <w:p>
      <w:pPr>
        <w:ind w:left="1274" w:hanging="2"/>
        <w:spacing w:after="0" w:line="237" w:lineRule="auto"/>
        <w:tabs>
          <w:tab w:leader="none" w:pos="1909" w:val="left"/>
        </w:tabs>
        <w:numPr>
          <w:ilvl w:val="2"/>
          <w:numId w:val="111"/>
        </w:numPr>
        <w:rPr>
          <w:rFonts w:ascii="Arial" w:cs="Arial" w:eastAsia="Arial" w:hAnsi="Arial"/>
          <w:sz w:val="19"/>
          <w:szCs w:val="19"/>
          <w:color w:val="auto"/>
        </w:rPr>
      </w:pPr>
      <w:r>
        <w:rPr>
          <w:rFonts w:ascii="Arial" w:cs="Arial" w:eastAsia="Arial" w:hAnsi="Arial"/>
          <w:sz w:val="19"/>
          <w:szCs w:val="19"/>
          <w:color w:val="auto"/>
        </w:rPr>
        <w:t>issue, in contemplation of or subsequent to such consolidation or other action, shares sufficient to preclude or remove fractional share holdings;</w:t>
      </w:r>
    </w:p>
    <w:p>
      <w:pPr>
        <w:spacing w:after="0" w:line="45" w:lineRule="exact"/>
        <w:rPr>
          <w:rFonts w:ascii="Arial" w:cs="Arial" w:eastAsia="Arial" w:hAnsi="Arial"/>
          <w:sz w:val="19"/>
          <w:szCs w:val="19"/>
          <w:color w:val="auto"/>
        </w:rPr>
      </w:pPr>
    </w:p>
    <w:p>
      <w:pPr>
        <w:ind w:left="1914" w:hanging="642"/>
        <w:spacing w:after="0"/>
        <w:tabs>
          <w:tab w:leader="none" w:pos="1914" w:val="left"/>
        </w:tabs>
        <w:numPr>
          <w:ilvl w:val="2"/>
          <w:numId w:val="111"/>
        </w:numPr>
        <w:rPr>
          <w:rFonts w:ascii="Arial" w:cs="Arial" w:eastAsia="Arial" w:hAnsi="Arial"/>
          <w:sz w:val="19"/>
          <w:szCs w:val="19"/>
          <w:color w:val="auto"/>
        </w:rPr>
      </w:pPr>
      <w:r>
        <w:rPr>
          <w:rFonts w:ascii="Arial" w:cs="Arial" w:eastAsia="Arial" w:hAnsi="Arial"/>
          <w:sz w:val="19"/>
          <w:szCs w:val="19"/>
          <w:color w:val="auto"/>
        </w:rPr>
        <w:t>redeem such shares or fractional shares sufficient to preclude or remove fractional share holdings;</w:t>
      </w:r>
    </w:p>
    <w:p>
      <w:pPr>
        <w:spacing w:after="0" w:line="73" w:lineRule="exact"/>
        <w:rPr>
          <w:rFonts w:ascii="Arial" w:cs="Arial" w:eastAsia="Arial" w:hAnsi="Arial"/>
          <w:sz w:val="19"/>
          <w:szCs w:val="19"/>
          <w:color w:val="auto"/>
        </w:rPr>
      </w:pPr>
    </w:p>
    <w:p>
      <w:pPr>
        <w:ind w:left="1274" w:right="20" w:hanging="2"/>
        <w:spacing w:after="0" w:line="237" w:lineRule="auto"/>
        <w:tabs>
          <w:tab w:leader="none" w:pos="1899" w:val="left"/>
        </w:tabs>
        <w:numPr>
          <w:ilvl w:val="2"/>
          <w:numId w:val="111"/>
        </w:numPr>
        <w:rPr>
          <w:rFonts w:ascii="Arial" w:cs="Arial" w:eastAsia="Arial" w:hAnsi="Arial"/>
          <w:sz w:val="19"/>
          <w:szCs w:val="19"/>
          <w:color w:val="auto"/>
        </w:rPr>
      </w:pPr>
      <w:r>
        <w:rPr>
          <w:rFonts w:ascii="Arial" w:cs="Arial" w:eastAsia="Arial" w:hAnsi="Arial"/>
          <w:sz w:val="19"/>
          <w:szCs w:val="19"/>
          <w:color w:val="auto"/>
        </w:rPr>
        <w:t>round up, round down or round to the nearest whole number, any fractional shares resulting from the consolidation or from any other action which may result in fractional shares; or</w:t>
      </w:r>
    </w:p>
    <w:p>
      <w:pPr>
        <w:spacing w:after="0" w:line="45" w:lineRule="exact"/>
        <w:rPr>
          <w:rFonts w:ascii="Arial" w:cs="Arial" w:eastAsia="Arial" w:hAnsi="Arial"/>
          <w:sz w:val="19"/>
          <w:szCs w:val="19"/>
          <w:color w:val="auto"/>
        </w:rPr>
      </w:pPr>
    </w:p>
    <w:p>
      <w:pPr>
        <w:jc w:val="both"/>
        <w:ind w:left="1274" w:hanging="2"/>
        <w:spacing w:after="0" w:line="217" w:lineRule="auto"/>
        <w:tabs>
          <w:tab w:leader="none" w:pos="1898" w:val="left"/>
        </w:tabs>
        <w:numPr>
          <w:ilvl w:val="2"/>
          <w:numId w:val="111"/>
        </w:numPr>
        <w:rPr>
          <w:rFonts w:ascii="Arial" w:cs="Arial" w:eastAsia="Arial" w:hAnsi="Arial"/>
          <w:sz w:val="19"/>
          <w:szCs w:val="19"/>
          <w:color w:val="auto"/>
        </w:rPr>
      </w:pPr>
      <w:r>
        <w:rPr>
          <w:rFonts w:ascii="Arial" w:cs="Arial" w:eastAsia="Arial" w:hAnsi="Arial"/>
          <w:sz w:val="19"/>
          <w:szCs w:val="19"/>
          <w:color w:val="auto"/>
        </w:rPr>
        <w:t>cause the transfer of fractional shares by certain Shareholders of the Company to other Shareholders thereof so as to most expediently preclude or remove any fractional shareholdings, and cause the transferees of such fractional shares to pay the transferors thereof the fair value thereof, and the Board of Directors is hereby authorized to act in connection with such transfer, as agent for the transferors and transferees of any such fractional shares, with full power of substitution, for the purposes of implementing the provisions of this sub-Article 9(b)(v).</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12"/>
        </w:numPr>
        <w:rPr>
          <w:rFonts w:ascii="Arial" w:cs="Arial" w:eastAsia="Arial" w:hAnsi="Arial"/>
          <w:sz w:val="19"/>
          <w:szCs w:val="19"/>
          <w:color w:val="auto"/>
        </w:rPr>
      </w:pPr>
      <w:r>
        <w:rPr>
          <w:rFonts w:ascii="Arial" w:cs="Arial" w:eastAsia="Arial" w:hAnsi="Arial"/>
          <w:sz w:val="19"/>
          <w:szCs w:val="19"/>
          <w:b w:val="1"/>
          <w:bCs w:val="1"/>
          <w:u w:val="single" w:color="auto"/>
          <w:color w:val="auto"/>
        </w:rPr>
        <w:t>Issuance of Share Certificates, Replacement of Lost Certificates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29" w:lineRule="auto"/>
        <w:tabs>
          <w:tab w:leader="none" w:pos="126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To the extent that the Board of Directors determines that all shares shall be certificated or, if the Board of Directors does not so determine, to the extent that any Shareholder requests a share certificate or the Company’s transfer agent so requires, share certificates shall be issued under the corporate seal of the Company or its written, typed or stamped name and shall bear the signature of one Director, the Company’s Chief Executive Officer, or any person or persons authorized therefor by the Board of Directors. Signatures may be affixed in any mechanical or electronic form, as the Board of Directors may prescribe.</w:t>
      </w:r>
    </w:p>
    <w:p>
      <w:pPr>
        <w:spacing w:after="0" w:line="46" w:lineRule="exact"/>
        <w:rPr>
          <w:rFonts w:ascii="Arial" w:cs="Arial" w:eastAsia="Arial" w:hAnsi="Arial"/>
          <w:sz w:val="18"/>
          <w:szCs w:val="18"/>
          <w:color w:val="auto"/>
        </w:rPr>
      </w:pPr>
    </w:p>
    <w:p>
      <w:pPr>
        <w:jc w:val="both"/>
        <w:ind w:left="634" w:hanging="9"/>
        <w:spacing w:after="0" w:line="225" w:lineRule="auto"/>
        <w:tabs>
          <w:tab w:leader="none" w:pos="1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Subject to the provisions of Article 10(a), each Shareholder shall be entitled to one numbered certificate for all of the shares of any class registered in his or her name. Each certificate shall specify the serial numbers of the shares represented thereby and may also specify the amount paid up thereon. The Company (as determined by an officer of the Company to be designated by the Chief Executive Officer) shall not refuse a request by a Shareholder to obtain several certificates in place of one certificate, unless such request is, in the opinion of such officer, unreasonable. Where a Shareholder has sold or transferred a portion of such Shareholder’s shares, such Shareholder shall be entitled to receive a certificate in respect of such Shareholder’s remaining shares, provided that the previous certificate is delivered to the Company before the issuance of a new certificate.</w:t>
      </w:r>
    </w:p>
    <w:p>
      <w:pPr>
        <w:spacing w:after="0" w:line="46" w:lineRule="exact"/>
        <w:rPr>
          <w:rFonts w:ascii="Arial" w:cs="Arial" w:eastAsia="Arial" w:hAnsi="Arial"/>
          <w:sz w:val="18"/>
          <w:szCs w:val="18"/>
          <w:color w:val="auto"/>
        </w:rPr>
      </w:pPr>
    </w:p>
    <w:p>
      <w:pPr>
        <w:ind w:left="634" w:hanging="9"/>
        <w:spacing w:after="0" w:line="237" w:lineRule="auto"/>
        <w:tabs>
          <w:tab w:leader="none" w:pos="1263"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 share certificate registered in the names of two or more persons shall be delivered to the person first named in the Register of Shareholders in respect of such co-ownership.</w:t>
      </w:r>
    </w:p>
    <w:p>
      <w:pPr>
        <w:spacing w:after="0" w:line="45" w:lineRule="exact"/>
        <w:rPr>
          <w:rFonts w:ascii="Arial" w:cs="Arial" w:eastAsia="Arial" w:hAnsi="Arial"/>
          <w:sz w:val="19"/>
          <w:szCs w:val="19"/>
          <w:color w:val="auto"/>
        </w:rPr>
      </w:pPr>
    </w:p>
    <w:p>
      <w:pPr>
        <w:jc w:val="both"/>
        <w:ind w:left="634" w:hanging="9"/>
        <w:spacing w:after="0" w:line="226" w:lineRule="auto"/>
        <w:tabs>
          <w:tab w:leader="none" w:pos="126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12"/>
        </w:numPr>
        <w:rPr>
          <w:rFonts w:ascii="Arial" w:cs="Arial" w:eastAsia="Arial" w:hAnsi="Arial"/>
          <w:sz w:val="19"/>
          <w:szCs w:val="19"/>
          <w:color w:val="auto"/>
        </w:rPr>
      </w:pPr>
      <w:r>
        <w:rPr>
          <w:rFonts w:ascii="Arial" w:cs="Arial" w:eastAsia="Arial" w:hAnsi="Arial"/>
          <w:sz w:val="19"/>
          <w:szCs w:val="19"/>
          <w:b w:val="1"/>
          <w:bCs w:val="1"/>
          <w:u w:val="single" w:color="auto"/>
          <w:color w:val="auto"/>
        </w:rPr>
        <w:t>Registered Holder</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spacing w:after="0" w:line="226" w:lineRule="auto"/>
        <w:rPr>
          <w:rFonts w:ascii="Arial" w:cs="Arial" w:eastAsia="Arial" w:hAnsi="Arial"/>
          <w:sz w:val="19"/>
          <w:szCs w:val="19"/>
          <w:color w:val="auto"/>
        </w:rPr>
      </w:pPr>
      <w:r>
        <w:rPr>
          <w:rFonts w:ascii="Arial" w:cs="Arial" w:eastAsia="Arial" w:hAnsi="Arial"/>
          <w:sz w:val="19"/>
          <w:szCs w:val="19"/>
          <w:color w:val="auto"/>
        </w:rPr>
        <w:t>Except as otherwise provided in these Articles or the Companies Law, the Company shall be entitled to treat the registered holder of each share as the absolute owner thereof, and accordingly, shall not, except as ordered by a court of competent jurisdiction, or as required by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8" w:lineRule="exact"/>
        <w:rPr>
          <w:rFonts w:ascii="Arial" w:cs="Arial" w:eastAsia="Arial" w:hAnsi="Arial"/>
          <w:sz w:val="19"/>
          <w:szCs w:val="19"/>
          <w:color w:val="auto"/>
        </w:rPr>
      </w:pPr>
    </w:p>
    <w:p>
      <w:pPr>
        <w:ind w:left="5574" w:hanging="89"/>
        <w:spacing w:after="0"/>
        <w:tabs>
          <w:tab w:leader="none" w:pos="5574" w:val="left"/>
        </w:tabs>
        <w:numPr>
          <w:ilvl w:val="3"/>
          <w:numId w:val="112"/>
        </w:numPr>
        <w:rPr>
          <w:rFonts w:ascii="Arial" w:cs="Arial" w:eastAsia="Arial" w:hAnsi="Arial"/>
          <w:sz w:val="16"/>
          <w:szCs w:val="16"/>
          <w:color w:val="auto"/>
        </w:rPr>
      </w:pPr>
      <w:r>
        <w:rPr>
          <w:rFonts w:ascii="Arial" w:cs="Arial" w:eastAsia="Arial" w:hAnsi="Arial"/>
          <w:sz w:val="16"/>
          <w:szCs w:val="16"/>
          <w:color w:val="auto"/>
        </w:rPr>
        <w:t>9 -</w:t>
      </w:r>
    </w:p>
    <w:p>
      <w:pPr>
        <w:sectPr>
          <w:pgSz w:w="11900" w:h="16838" w:orient="portrait"/>
          <w:cols w:equalWidth="0" w:num="1">
            <w:col w:w="11234"/>
          </w:cols>
          <w:pgMar w:left="326" w:top="1440" w:right="339" w:bottom="1440" w:gutter="0" w:footer="0" w:header="0"/>
        </w:sectPr>
      </w:pPr>
    </w:p>
    <w:bookmarkStart w:id="182" w:name="page183"/>
    <w:bookmarkEnd w:id="182"/>
    <w:p>
      <w:pPr>
        <w:spacing w:after="0" w:line="154" w:lineRule="exact"/>
        <w:rPr>
          <w:sz w:val="20"/>
          <w:szCs w:val="20"/>
          <w:color w:val="auto"/>
        </w:rPr>
      </w:pPr>
    </w:p>
    <w:p>
      <w:pPr>
        <w:ind w:left="634"/>
        <w:spacing w:after="0"/>
        <w:rPr>
          <w:sz w:val="20"/>
          <w:szCs w:val="20"/>
          <w:color w:val="auto"/>
        </w:rPr>
      </w:pPr>
      <w:r>
        <w:rPr>
          <w:rFonts w:ascii="Arial" w:cs="Arial" w:eastAsia="Arial" w:hAnsi="Arial"/>
          <w:sz w:val="17"/>
          <w:szCs w:val="17"/>
          <w:color w:val="auto"/>
        </w:rPr>
        <w:t>the Companies Law, be obligated to recognize any equitable or other claim to, or interest in, such share on the part of any other person.</w:t>
      </w:r>
    </w:p>
    <w:p>
      <w:pPr>
        <w:spacing w:after="0" w:line="90" w:lineRule="exact"/>
        <w:rPr>
          <w:sz w:val="20"/>
          <w:szCs w:val="20"/>
          <w:color w:val="auto"/>
        </w:rPr>
      </w:pPr>
    </w:p>
    <w:p>
      <w:pPr>
        <w:ind w:left="614" w:hanging="614"/>
        <w:spacing w:after="0"/>
        <w:tabs>
          <w:tab w:leader="none" w:pos="614"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Issuance and Repurchase of Shares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12" w:lineRule="auto"/>
        <w:tabs>
          <w:tab w:leader="none" w:pos="1263"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unissued shares from time to time shall be under the control of the Board of Directors (and, to the extent permitted by law, any Committee thereof), which shall have the power to issue or otherwise dispose of shares and of securities convertible or exercisable into or other rights to acquire from the Company to such persons, on such terms and conditions (including, inter alia, price, with or without premium, discount or commission, and terms relating to calls set forth in Article 14(f) hereof), and at such times, as the Board of Directors (or the Committee, as the case may be) deems fit, and the power to give to any person the option to acquire from the Company any shares or securities convertible or exercisable into or other rights to acquire from the Company on such terms and conditions (including, inter alia, price, with or without premium, discount or commission), during such time as the Board of Directors (or the Committee, as the case may be) deems fit.</w:t>
      </w:r>
    </w:p>
    <w:p>
      <w:pPr>
        <w:spacing w:after="0" w:line="46" w:lineRule="exact"/>
        <w:rPr>
          <w:rFonts w:ascii="Arial" w:cs="Arial" w:eastAsia="Arial" w:hAnsi="Arial"/>
          <w:sz w:val="19"/>
          <w:szCs w:val="19"/>
          <w:color w:val="auto"/>
        </w:rPr>
      </w:pPr>
    </w:p>
    <w:p>
      <w:pPr>
        <w:jc w:val="both"/>
        <w:ind w:left="634" w:hanging="9"/>
        <w:spacing w:after="0" w:line="248" w:lineRule="auto"/>
        <w:tabs>
          <w:tab w:leader="none" w:pos="12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Company may at any time and from time to time, subject to the Companies Law, repurchase or finance the purchase of any shares or other securities issued by the Company, in such manner and under such terms as the Board of Directors shall determine, whether from any one or more Shareholders. Such purchase shall not be deemed as payment of dividends and as such, no Shareholder will have the right to require the Company to purchase his or her shares or offer to purchase shares from any other Shareholders.</w:t>
      </w:r>
    </w:p>
    <w:p>
      <w:pPr>
        <w:spacing w:after="0" w:line="34" w:lineRule="exact"/>
        <w:rPr>
          <w:rFonts w:ascii="Arial" w:cs="Arial" w:eastAsia="Arial" w:hAnsi="Arial"/>
          <w:sz w:val="17"/>
          <w:szCs w:val="17"/>
          <w:color w:val="auto"/>
        </w:rPr>
      </w:pPr>
    </w:p>
    <w:p>
      <w:pPr>
        <w:ind w:left="614" w:hanging="614"/>
        <w:spacing w:after="0"/>
        <w:tabs>
          <w:tab w:leader="none" w:pos="614"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in Installment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spacing w:after="0" w:line="226" w:lineRule="auto"/>
        <w:rPr>
          <w:rFonts w:ascii="Arial" w:cs="Arial" w:eastAsia="Arial" w:hAnsi="Arial"/>
          <w:sz w:val="19"/>
          <w:szCs w:val="19"/>
          <w:color w:val="auto"/>
        </w:rPr>
      </w:pPr>
      <w:r>
        <w:rPr>
          <w:rFonts w:ascii="Arial" w:cs="Arial" w:eastAsia="Arial" w:hAnsi="Arial"/>
          <w:sz w:val="19"/>
          <w:szCs w:val="19"/>
          <w:color w:val="auto"/>
        </w:rPr>
        <w:t>If pursuant to the terms of issuance of any share, all or any portion of the price thereof shall be payable in installments, every such installment shall be paid to the Company on the due date thereof by the then registered holder(s) of the share or the person(s) then entitled thereto.</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Calls on Shares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12" w:lineRule="auto"/>
        <w:tabs>
          <w:tab w:leader="none" w:pos="1263"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Board of Directors may, from time to time, as it, in its discretion, deems fit, make calls for payment upon Shareholders in respect of any sum (including premium) which has not been paid up in respect of shares held by such Shareholders and which is not, pursuant to the terms of issuance of such shares or otherwise, payable at a fixed time, and each Shareholder shall pay the amount of every call so made upon him or her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the shares in respect of which such call was made.</w:t>
      </w:r>
    </w:p>
    <w:p>
      <w:pPr>
        <w:spacing w:after="0" w:line="46" w:lineRule="exact"/>
        <w:rPr>
          <w:rFonts w:ascii="Arial" w:cs="Arial" w:eastAsia="Arial" w:hAnsi="Arial"/>
          <w:sz w:val="19"/>
          <w:szCs w:val="19"/>
          <w:color w:val="auto"/>
        </w:rPr>
      </w:pPr>
    </w:p>
    <w:p>
      <w:pPr>
        <w:jc w:val="both"/>
        <w:ind w:left="634" w:hanging="9"/>
        <w:spacing w:after="0" w:line="215" w:lineRule="auto"/>
        <w:tabs>
          <w:tab w:leader="none" w:pos="126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Notice of any call for payment by a shareholder shall be given in writing to such shareholder not less than fourteen (14) days prior to the time of payment fixed in such notice, and shall specify the time and place of payment, and the person to whom such payment is to be made. Prior to the time for any such payment fixed in a notice of a call given to a shareholder, the Board of Directors may in its absolute discretion, by notice in writing to such shareholder, revoke such call in whole or in part, extend the time fixed for payment thereof, or designate a different place of payment or person to whom payment is to be made. In the event of a call payable in installments, only one notice thereof need be given.</w:t>
      </w:r>
    </w:p>
    <w:p>
      <w:pPr>
        <w:spacing w:after="0" w:line="44" w:lineRule="exact"/>
        <w:rPr>
          <w:rFonts w:ascii="Arial" w:cs="Arial" w:eastAsia="Arial" w:hAnsi="Arial"/>
          <w:sz w:val="19"/>
          <w:szCs w:val="19"/>
          <w:color w:val="auto"/>
        </w:rPr>
      </w:pPr>
    </w:p>
    <w:p>
      <w:pPr>
        <w:jc w:val="both"/>
        <w:ind w:left="634" w:hanging="9"/>
        <w:spacing w:after="0" w:line="217" w:lineRule="auto"/>
        <w:tabs>
          <w:tab w:leader="none" w:pos="1263" w:val="left"/>
        </w:tabs>
        <w:numPr>
          <w:ilvl w:val="1"/>
          <w:numId w:val="113"/>
        </w:numPr>
        <w:rPr>
          <w:rFonts w:ascii="Arial" w:cs="Arial" w:eastAsia="Arial" w:hAnsi="Arial"/>
          <w:sz w:val="19"/>
          <w:szCs w:val="19"/>
          <w:color w:val="auto"/>
        </w:rPr>
      </w:pPr>
      <w:r>
        <w:rPr>
          <w:rFonts w:ascii="Arial" w:cs="Arial" w:eastAsia="Arial" w:hAnsi="Arial"/>
          <w:sz w:val="19"/>
          <w:szCs w:val="19"/>
          <w:color w:val="auto"/>
        </w:rPr>
        <w:t>If pursuant to the terms of issuance of a share or otherwise, an amount is made payable at a fixed time (whether on account of such nominal value of such share or by way of premium), such amount shall be payable at such time as if it were payable by virtue of a call made by the Board of Directors and for which notice was given in accordance with paragraphs (a) and (b) of this Article 14, and the provision of these Articles with regard to calls (and the non-payment thereof) shall be applicable to such amount or such installment (and the non-payment thereof).</w:t>
      </w:r>
    </w:p>
    <w:p>
      <w:pPr>
        <w:spacing w:after="0" w:line="45" w:lineRule="exact"/>
        <w:rPr>
          <w:rFonts w:ascii="Arial" w:cs="Arial" w:eastAsia="Arial" w:hAnsi="Arial"/>
          <w:sz w:val="19"/>
          <w:szCs w:val="19"/>
          <w:color w:val="auto"/>
        </w:rPr>
      </w:pPr>
    </w:p>
    <w:p>
      <w:pPr>
        <w:ind w:left="634" w:hanging="9"/>
        <w:spacing w:after="0" w:line="237" w:lineRule="auto"/>
        <w:tabs>
          <w:tab w:leader="none" w:pos="126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Joint holders of a share shall be jointly and severally liable to pay all calls for payment in respect of such share and all interest payable thereon.</w:t>
      </w:r>
    </w:p>
    <w:p>
      <w:pPr>
        <w:spacing w:after="0" w:line="45" w:lineRule="exact"/>
        <w:rPr>
          <w:rFonts w:ascii="Arial" w:cs="Arial" w:eastAsia="Arial" w:hAnsi="Arial"/>
          <w:sz w:val="19"/>
          <w:szCs w:val="19"/>
          <w:color w:val="auto"/>
        </w:rPr>
      </w:pPr>
    </w:p>
    <w:p>
      <w:pPr>
        <w:jc w:val="both"/>
        <w:ind w:left="634" w:hanging="9"/>
        <w:spacing w:after="0" w:line="226" w:lineRule="auto"/>
        <w:tabs>
          <w:tab w:leader="none" w:pos="1263"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Any amount called for payment which is not paid when due shall bear interest from the date fixed for payment until actual payment thereof, at such rate (not exceeding the then prevailing debitory rate charged by leading commercial banks in Israel), and payable at such time(s) as the Board of Directors may prescribe.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8" w:lineRule="exact"/>
        <w:rPr>
          <w:rFonts w:ascii="Arial" w:cs="Arial" w:eastAsia="Arial" w:hAnsi="Arial"/>
          <w:sz w:val="19"/>
          <w:szCs w:val="19"/>
          <w:color w:val="auto"/>
        </w:rPr>
      </w:pPr>
    </w:p>
    <w:p>
      <w:pPr>
        <w:ind w:left="5534" w:hanging="88"/>
        <w:spacing w:after="0"/>
        <w:tabs>
          <w:tab w:leader="none" w:pos="5534" w:val="left"/>
        </w:tabs>
        <w:numPr>
          <w:ilvl w:val="2"/>
          <w:numId w:val="113"/>
        </w:numPr>
        <w:rPr>
          <w:rFonts w:ascii="Arial" w:cs="Arial" w:eastAsia="Arial" w:hAnsi="Arial"/>
          <w:sz w:val="16"/>
          <w:szCs w:val="16"/>
          <w:color w:val="auto"/>
        </w:rPr>
      </w:pPr>
      <w:r>
        <w:rPr>
          <w:rFonts w:ascii="Arial" w:cs="Arial" w:eastAsia="Arial" w:hAnsi="Arial"/>
          <w:sz w:val="16"/>
          <w:szCs w:val="16"/>
          <w:color w:val="auto"/>
        </w:rPr>
        <w:t>10 -</w:t>
      </w:r>
    </w:p>
    <w:p>
      <w:pPr>
        <w:sectPr>
          <w:pgSz w:w="11900" w:h="16838" w:orient="portrait"/>
          <w:cols w:equalWidth="0" w:num="1">
            <w:col w:w="11234"/>
          </w:cols>
          <w:pgMar w:left="326" w:top="1440" w:right="339" w:bottom="1440" w:gutter="0" w:footer="0" w:header="0"/>
        </w:sectPr>
      </w:pPr>
    </w:p>
    <w:bookmarkStart w:id="183" w:name="page184"/>
    <w:bookmarkEnd w:id="183"/>
    <w:p>
      <w:pPr>
        <w:spacing w:after="0" w:line="154" w:lineRule="exact"/>
        <w:rPr>
          <w:sz w:val="20"/>
          <w:szCs w:val="20"/>
          <w:color w:val="auto"/>
        </w:rPr>
      </w:pPr>
    </w:p>
    <w:p>
      <w:pPr>
        <w:ind w:left="634" w:hanging="9"/>
        <w:spacing w:after="0" w:line="237" w:lineRule="auto"/>
        <w:tabs>
          <w:tab w:leader="none" w:pos="1268" w:val="left"/>
        </w:tabs>
        <w:numPr>
          <w:ilvl w:val="1"/>
          <w:numId w:val="114"/>
        </w:numPr>
        <w:rPr>
          <w:rFonts w:ascii="Arial" w:cs="Arial" w:eastAsia="Arial" w:hAnsi="Arial"/>
          <w:sz w:val="19"/>
          <w:szCs w:val="19"/>
          <w:color w:val="auto"/>
        </w:rPr>
      </w:pPr>
      <w:r>
        <w:rPr>
          <w:rFonts w:ascii="Arial" w:cs="Arial" w:eastAsia="Arial" w:hAnsi="Arial"/>
          <w:sz w:val="19"/>
          <w:szCs w:val="19"/>
          <w:color w:val="auto"/>
        </w:rPr>
        <w:t>Upon the issuance of shares, the Board of Directors may provide for differences among the holders of such shares as to the amounts and times for payment of calls for payment in respect of such shares.</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15"/>
        </w:numPr>
        <w:rPr>
          <w:rFonts w:ascii="Arial" w:cs="Arial" w:eastAsia="Arial" w:hAnsi="Arial"/>
          <w:sz w:val="19"/>
          <w:szCs w:val="19"/>
          <w:color w:val="auto"/>
        </w:rPr>
      </w:pPr>
      <w:r>
        <w:rPr>
          <w:rFonts w:ascii="Arial" w:cs="Arial" w:eastAsia="Arial" w:hAnsi="Arial"/>
          <w:sz w:val="19"/>
          <w:szCs w:val="19"/>
          <w:b w:val="1"/>
          <w:bCs w:val="1"/>
          <w:u w:val="single" w:color="auto"/>
          <w:color w:val="auto"/>
        </w:rPr>
        <w:t>Prepayment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spacing w:after="0" w:line="215" w:lineRule="auto"/>
        <w:rPr>
          <w:rFonts w:ascii="Arial" w:cs="Arial" w:eastAsia="Arial" w:hAnsi="Arial"/>
          <w:sz w:val="19"/>
          <w:szCs w:val="19"/>
          <w:color w:val="auto"/>
        </w:rPr>
      </w:pPr>
      <w:r>
        <w:rPr>
          <w:rFonts w:ascii="Arial" w:cs="Arial" w:eastAsia="Arial" w:hAnsi="Arial"/>
          <w:sz w:val="19"/>
          <w:szCs w:val="19"/>
          <w:color w:val="auto"/>
        </w:rPr>
        <w:t>With the approval of the Board of Directors, any Shareholder may pay to the Company any amount not yet payable in respect of his or her shares, and the Board of Directors may approve the payment by the Company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15 shall derogate from the right of the Board of Directors to make any call for payment before or after receipt by the Company of any such advance.</w:t>
      </w:r>
    </w:p>
    <w:p>
      <w:pPr>
        <w:spacing w:after="0" w:line="38" w:lineRule="exact"/>
        <w:rPr>
          <w:rFonts w:ascii="Arial" w:cs="Arial" w:eastAsia="Arial" w:hAnsi="Arial"/>
          <w:sz w:val="19"/>
          <w:szCs w:val="19"/>
          <w:color w:val="auto"/>
        </w:rPr>
      </w:pPr>
    </w:p>
    <w:p>
      <w:pPr>
        <w:ind w:left="614" w:hanging="614"/>
        <w:spacing w:after="0"/>
        <w:tabs>
          <w:tab w:leader="none" w:pos="614" w:val="left"/>
        </w:tabs>
        <w:numPr>
          <w:ilvl w:val="0"/>
          <w:numId w:val="115"/>
        </w:numPr>
        <w:rPr>
          <w:rFonts w:ascii="Arial" w:cs="Arial" w:eastAsia="Arial" w:hAnsi="Arial"/>
          <w:sz w:val="19"/>
          <w:szCs w:val="19"/>
          <w:color w:val="auto"/>
        </w:rPr>
      </w:pPr>
      <w:r>
        <w:rPr>
          <w:rFonts w:ascii="Arial" w:cs="Arial" w:eastAsia="Arial" w:hAnsi="Arial"/>
          <w:sz w:val="19"/>
          <w:szCs w:val="19"/>
          <w:b w:val="1"/>
          <w:bCs w:val="1"/>
          <w:u w:val="single" w:color="auto"/>
          <w:color w:val="auto"/>
        </w:rPr>
        <w:t>Forfeiture and Surrender</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13" w:lineRule="auto"/>
        <w:tabs>
          <w:tab w:leader="none" w:pos="1263" w:val="left"/>
        </w:tabs>
        <w:numPr>
          <w:ilvl w:val="1"/>
          <w:numId w:val="115"/>
        </w:numPr>
        <w:rPr>
          <w:rFonts w:ascii="Arial" w:cs="Arial" w:eastAsia="Arial" w:hAnsi="Arial"/>
          <w:sz w:val="19"/>
          <w:szCs w:val="19"/>
          <w:color w:val="auto"/>
        </w:rPr>
      </w:pPr>
      <w:r>
        <w:rPr>
          <w:rFonts w:ascii="Arial" w:cs="Arial" w:eastAsia="Arial" w:hAnsi="Arial"/>
          <w:sz w:val="19"/>
          <w:szCs w:val="19"/>
          <w:color w:val="auto"/>
        </w:rPr>
        <w:t>If any Shareholder fails to pay an amount payable by virtue of a call, installment or interest thereon as provided for in accordance herewith, on or before the day fixed for payment of the same, the Board of Directors may at any time after the day fixed for such payment, so long as such amount (or any portion thereof) or interest thereon (or any portion thereof) remains unpaid,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p>
      <w:pPr>
        <w:spacing w:after="0" w:line="47" w:lineRule="exact"/>
        <w:rPr>
          <w:rFonts w:ascii="Arial" w:cs="Arial" w:eastAsia="Arial" w:hAnsi="Arial"/>
          <w:sz w:val="19"/>
          <w:szCs w:val="19"/>
          <w:color w:val="auto"/>
        </w:rPr>
      </w:pPr>
    </w:p>
    <w:p>
      <w:pPr>
        <w:jc w:val="both"/>
        <w:ind w:left="634" w:hanging="9"/>
        <w:spacing w:after="0" w:line="226" w:lineRule="auto"/>
        <w:tabs>
          <w:tab w:leader="none" w:pos="12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Upon the adoption of a resolution as to the forfeiture of a Shareholder’s share, the Board of Directors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of Directors), such shares shall be ipso facto forfeited, provided, however, that, prior to such date, the Board of Directors may cancel such resolution of forfeiture, but no such cancellation shall stop the Board of Directors from adopting a further resolution of forfeiture in respect of the non-payment of the same amount.</w:t>
      </w:r>
    </w:p>
    <w:p>
      <w:pPr>
        <w:spacing w:after="0" w:line="49" w:lineRule="exact"/>
        <w:rPr>
          <w:rFonts w:ascii="Arial" w:cs="Arial" w:eastAsia="Arial" w:hAnsi="Arial"/>
          <w:sz w:val="18"/>
          <w:szCs w:val="18"/>
          <w:color w:val="auto"/>
        </w:rPr>
      </w:pPr>
    </w:p>
    <w:p>
      <w:pPr>
        <w:ind w:left="634" w:hanging="9"/>
        <w:spacing w:after="0" w:line="237" w:lineRule="auto"/>
        <w:tabs>
          <w:tab w:leader="none" w:pos="1263" w:val="left"/>
        </w:tabs>
        <w:numPr>
          <w:ilvl w:val="1"/>
          <w:numId w:val="115"/>
        </w:numPr>
        <w:rPr>
          <w:rFonts w:ascii="Arial" w:cs="Arial" w:eastAsia="Arial" w:hAnsi="Arial"/>
          <w:sz w:val="19"/>
          <w:szCs w:val="19"/>
          <w:color w:val="auto"/>
        </w:rPr>
      </w:pPr>
      <w:r>
        <w:rPr>
          <w:rFonts w:ascii="Arial" w:cs="Arial" w:eastAsia="Arial" w:hAnsi="Arial"/>
          <w:sz w:val="19"/>
          <w:szCs w:val="19"/>
          <w:color w:val="auto"/>
        </w:rPr>
        <w:t>Without derogating from Articles 52 and 56 hereof, whenever shares are forfeited as herein provided, all dividends, if any, theretofore declared in respect thereof and not actually paid shall be deemed to have been forfeited at the same time.</w:t>
      </w:r>
    </w:p>
    <w:p>
      <w:pPr>
        <w:spacing w:after="0" w:line="45" w:lineRule="exact"/>
        <w:rPr>
          <w:rFonts w:ascii="Arial" w:cs="Arial" w:eastAsia="Arial" w:hAnsi="Arial"/>
          <w:sz w:val="19"/>
          <w:szCs w:val="19"/>
          <w:color w:val="auto"/>
        </w:rPr>
      </w:pPr>
    </w:p>
    <w:p>
      <w:pPr>
        <w:ind w:left="1254" w:hanging="629"/>
        <w:spacing w:after="0"/>
        <w:tabs>
          <w:tab w:leader="none" w:pos="125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The Company, by resolution of the Board of Directors, may accept the voluntary surrender of any share.</w:t>
      </w:r>
    </w:p>
    <w:p>
      <w:pPr>
        <w:spacing w:after="0" w:line="73" w:lineRule="exact"/>
        <w:rPr>
          <w:rFonts w:ascii="Arial" w:cs="Arial" w:eastAsia="Arial" w:hAnsi="Arial"/>
          <w:sz w:val="19"/>
          <w:szCs w:val="19"/>
          <w:color w:val="auto"/>
        </w:rPr>
      </w:pPr>
    </w:p>
    <w:p>
      <w:pPr>
        <w:ind w:left="634" w:hanging="9"/>
        <w:spacing w:after="0" w:line="291" w:lineRule="auto"/>
        <w:tabs>
          <w:tab w:leader="none" w:pos="126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Any share forfeited or surrendered as provided herein, shall become the property of the Company as a dormant share, and the same, subject to the provisions of these Articles, may be sold, re-issued or otherwise disposed of as the Board of Directors deems fit.</w:t>
      </w:r>
    </w:p>
    <w:p>
      <w:pPr>
        <w:spacing w:after="0" w:line="2" w:lineRule="exact"/>
        <w:rPr>
          <w:rFonts w:ascii="Arial" w:cs="Arial" w:eastAsia="Arial" w:hAnsi="Arial"/>
          <w:sz w:val="17"/>
          <w:szCs w:val="17"/>
          <w:color w:val="auto"/>
        </w:rPr>
      </w:pPr>
    </w:p>
    <w:p>
      <w:pPr>
        <w:jc w:val="both"/>
        <w:ind w:left="634" w:hanging="9"/>
        <w:spacing w:after="0" w:line="212" w:lineRule="auto"/>
        <w:tabs>
          <w:tab w:leader="none" w:pos="1268" w:val="left"/>
        </w:tabs>
        <w:numPr>
          <w:ilvl w:val="1"/>
          <w:numId w:val="115"/>
        </w:numPr>
        <w:rPr>
          <w:rFonts w:ascii="Arial" w:cs="Arial" w:eastAsia="Arial" w:hAnsi="Arial"/>
          <w:sz w:val="19"/>
          <w:szCs w:val="19"/>
          <w:color w:val="auto"/>
        </w:rPr>
      </w:pPr>
      <w:r>
        <w:rPr>
          <w:rFonts w:ascii="Arial" w:cs="Arial" w:eastAsia="Arial" w:hAnsi="Arial"/>
          <w:sz w:val="19"/>
          <w:szCs w:val="19"/>
          <w:color w:val="auto"/>
        </w:rPr>
        <w:t>Any person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14(e) above, and the Board of Directors, in its discretion, may, but shall not be obligated to, enforce or collect the payment of such amounts, or any part thereof, as it shall deem fit. In the event of such forfeiture or surrender, the Company, by resolution of the Board of Directors, may accelerate the date(s) of payment of any or all amounts then owing to the Company by the person in question (but not yet due) in respect of all shares owned by such Shareholder, solely or jointly with another.</w:t>
      </w:r>
    </w:p>
    <w:p>
      <w:pPr>
        <w:spacing w:after="0" w:line="46" w:lineRule="exact"/>
        <w:rPr>
          <w:rFonts w:ascii="Arial" w:cs="Arial" w:eastAsia="Arial" w:hAnsi="Arial"/>
          <w:sz w:val="19"/>
          <w:szCs w:val="19"/>
          <w:color w:val="auto"/>
        </w:rPr>
      </w:pPr>
    </w:p>
    <w:p>
      <w:pPr>
        <w:jc w:val="both"/>
        <w:ind w:left="634" w:hanging="9"/>
        <w:spacing w:after="0" w:line="226" w:lineRule="auto"/>
        <w:tabs>
          <w:tab w:leader="none" w:pos="126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The Board of Directors may at any time, before any share so forfeited or surrendered shall have been sold, re-issued or otherwise disposed of, nullify the forfeiture or surrender on such conditions as it deems fit, but no such nullification shall stop the Board of Directors from re-exercising its powers of forfeiture pursuant to this Article 16.</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8" w:lineRule="exact"/>
        <w:rPr>
          <w:rFonts w:ascii="Arial" w:cs="Arial" w:eastAsia="Arial" w:hAnsi="Arial"/>
          <w:sz w:val="19"/>
          <w:szCs w:val="19"/>
          <w:color w:val="auto"/>
        </w:rPr>
      </w:pPr>
    </w:p>
    <w:p>
      <w:pPr>
        <w:ind w:left="5534" w:hanging="85"/>
        <w:spacing w:after="0"/>
        <w:tabs>
          <w:tab w:leader="none" w:pos="5534" w:val="left"/>
        </w:tabs>
        <w:numPr>
          <w:ilvl w:val="2"/>
          <w:numId w:val="115"/>
        </w:numPr>
        <w:rPr>
          <w:rFonts w:ascii="Arial" w:cs="Arial" w:eastAsia="Arial" w:hAnsi="Arial"/>
          <w:sz w:val="16"/>
          <w:szCs w:val="16"/>
          <w:color w:val="auto"/>
        </w:rPr>
      </w:pPr>
      <w:r>
        <w:rPr>
          <w:rFonts w:ascii="Arial" w:cs="Arial" w:eastAsia="Arial" w:hAnsi="Arial"/>
          <w:sz w:val="16"/>
          <w:szCs w:val="16"/>
          <w:color w:val="auto"/>
        </w:rPr>
        <w:t>11 -</w:t>
      </w:r>
    </w:p>
    <w:p>
      <w:pPr>
        <w:sectPr>
          <w:pgSz w:w="11900" w:h="16838" w:orient="portrait"/>
          <w:cols w:equalWidth="0" w:num="1">
            <w:col w:w="11234"/>
          </w:cols>
          <w:pgMar w:left="326" w:top="1440" w:right="339" w:bottom="1440" w:gutter="0" w:footer="0" w:header="0"/>
        </w:sectPr>
      </w:pPr>
    </w:p>
    <w:bookmarkStart w:id="184" w:name="page185"/>
    <w:bookmarkEnd w:id="184"/>
    <w:p>
      <w:pPr>
        <w:spacing w:after="0" w:line="148" w:lineRule="exact"/>
        <w:rPr>
          <w:sz w:val="20"/>
          <w:szCs w:val="20"/>
          <w:color w:val="auto"/>
        </w:rPr>
      </w:pPr>
    </w:p>
    <w:p>
      <w:pPr>
        <w:ind w:left="620" w:hanging="614"/>
        <w:spacing w:after="0"/>
        <w:tabs>
          <w:tab w:leader="none" w:pos="620" w:val="left"/>
        </w:tabs>
        <w:numPr>
          <w:ilvl w:val="0"/>
          <w:numId w:val="116"/>
        </w:numPr>
        <w:rPr>
          <w:rFonts w:ascii="Arial" w:cs="Arial" w:eastAsia="Arial" w:hAnsi="Arial"/>
          <w:sz w:val="19"/>
          <w:szCs w:val="19"/>
          <w:color w:val="auto"/>
        </w:rPr>
      </w:pPr>
      <w:r>
        <w:rPr>
          <w:rFonts w:ascii="Arial" w:cs="Arial" w:eastAsia="Arial" w:hAnsi="Arial"/>
          <w:sz w:val="19"/>
          <w:szCs w:val="19"/>
          <w:b w:val="1"/>
          <w:bCs w:val="1"/>
          <w:u w:val="single" w:color="auto"/>
          <w:color w:val="auto"/>
        </w:rPr>
        <w:t>Lien</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5" w:lineRule="auto"/>
        <w:tabs>
          <w:tab w:leader="none" w:pos="126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or her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46" w:lineRule="exact"/>
        <w:rPr>
          <w:rFonts w:ascii="Arial" w:cs="Arial" w:eastAsia="Arial" w:hAnsi="Arial"/>
          <w:sz w:val="18"/>
          <w:szCs w:val="18"/>
          <w:color w:val="auto"/>
        </w:rPr>
      </w:pPr>
    </w:p>
    <w:p>
      <w:pPr>
        <w:jc w:val="both"/>
        <w:ind w:left="640" w:hanging="9"/>
        <w:spacing w:after="0" w:line="220" w:lineRule="auto"/>
        <w:tabs>
          <w:tab w:leader="none" w:pos="126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Shareholder, his or her executors or administrators.</w:t>
      </w:r>
    </w:p>
    <w:p>
      <w:pPr>
        <w:spacing w:after="0" w:line="46" w:lineRule="exact"/>
        <w:rPr>
          <w:rFonts w:ascii="Arial" w:cs="Arial" w:eastAsia="Arial" w:hAnsi="Arial"/>
          <w:sz w:val="19"/>
          <w:szCs w:val="19"/>
          <w:color w:val="auto"/>
        </w:rPr>
      </w:pPr>
    </w:p>
    <w:p>
      <w:pPr>
        <w:jc w:val="both"/>
        <w:ind w:left="640" w:hanging="9"/>
        <w:spacing w:after="0" w:line="238" w:lineRule="auto"/>
        <w:tabs>
          <w:tab w:leader="none" w:pos="126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net proceeds of any such sale, after payment of the costs and expenses thereof or ancillary thereto, shall be applied in or toward satisfaction of the debts, liabilities or engagements of such Shareholder in respect of such share (whether or not the same have matured), and the remaining proceeds (if any) shall be paid to the shareholder, his or her executors, administrators or assigns.</w:t>
      </w:r>
    </w:p>
    <w:p>
      <w:pPr>
        <w:spacing w:after="0" w:line="40" w:lineRule="exact"/>
        <w:rPr>
          <w:rFonts w:ascii="Arial" w:cs="Arial" w:eastAsia="Arial" w:hAnsi="Arial"/>
          <w:sz w:val="18"/>
          <w:szCs w:val="18"/>
          <w:color w:val="auto"/>
        </w:rPr>
      </w:pPr>
    </w:p>
    <w:p>
      <w:pPr>
        <w:ind w:left="620" w:hanging="614"/>
        <w:spacing w:after="0"/>
        <w:tabs>
          <w:tab w:leader="none" w:pos="620" w:val="left"/>
        </w:tabs>
        <w:numPr>
          <w:ilvl w:val="0"/>
          <w:numId w:val="116"/>
        </w:numPr>
        <w:rPr>
          <w:rFonts w:ascii="Arial" w:cs="Arial" w:eastAsia="Arial" w:hAnsi="Arial"/>
          <w:sz w:val="19"/>
          <w:szCs w:val="19"/>
          <w:color w:val="auto"/>
        </w:rPr>
      </w:pPr>
      <w:r>
        <w:rPr>
          <w:rFonts w:ascii="Arial" w:cs="Arial" w:eastAsia="Arial" w:hAnsi="Arial"/>
          <w:sz w:val="19"/>
          <w:szCs w:val="19"/>
          <w:b w:val="1"/>
          <w:bCs w:val="1"/>
          <w:u w:val="single" w:color="auto"/>
          <w:color w:val="auto"/>
        </w:rPr>
        <w:t>Sale After Forfeiture or Surrender or For Enforcement of Lien</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15" w:lineRule="auto"/>
        <w:rPr>
          <w:rFonts w:ascii="Arial" w:cs="Arial" w:eastAsia="Arial" w:hAnsi="Arial"/>
          <w:sz w:val="19"/>
          <w:szCs w:val="19"/>
          <w:color w:val="auto"/>
        </w:rPr>
      </w:pPr>
      <w:r>
        <w:rPr>
          <w:rFonts w:ascii="Arial" w:cs="Arial" w:eastAsia="Arial" w:hAnsi="Arial"/>
          <w:sz w:val="19"/>
          <w:szCs w:val="19"/>
          <w:color w:val="auto"/>
        </w:rPr>
        <w:t>Upon any sale of a share after forfeiture or surrender or for enforcing a lien, the Board of Directors may appoint any person to execute an instrument of transfer of the share so sold and cause the purchaser’s name to be entered in the Register of Shareholders in respect of such share. The purchaser shall be registered as the shareholder and shall not be bound to see to the regularity of the sale proceedings, or to the application of the proceeds of such sale, and after his or her name has been entered in the Register of Shareholders in respect of such share, the validity of the sale shall not be impeached by any person, and the remedy of any person aggrieved by the sale shall be in damages only and against the Company exclusively.</w:t>
      </w:r>
    </w:p>
    <w:p>
      <w:pPr>
        <w:spacing w:after="0" w:line="38" w:lineRule="exact"/>
        <w:rPr>
          <w:rFonts w:ascii="Arial" w:cs="Arial" w:eastAsia="Arial" w:hAnsi="Arial"/>
          <w:sz w:val="19"/>
          <w:szCs w:val="19"/>
          <w:color w:val="auto"/>
        </w:rPr>
      </w:pPr>
    </w:p>
    <w:p>
      <w:pPr>
        <w:ind w:left="620" w:hanging="614"/>
        <w:spacing w:after="0"/>
        <w:tabs>
          <w:tab w:leader="none" w:pos="620" w:val="left"/>
        </w:tabs>
        <w:numPr>
          <w:ilvl w:val="0"/>
          <w:numId w:val="116"/>
        </w:numPr>
        <w:rPr>
          <w:rFonts w:ascii="Arial" w:cs="Arial" w:eastAsia="Arial" w:hAnsi="Arial"/>
          <w:sz w:val="19"/>
          <w:szCs w:val="19"/>
          <w:color w:val="auto"/>
        </w:rPr>
      </w:pPr>
      <w:r>
        <w:rPr>
          <w:rFonts w:ascii="Arial" w:cs="Arial" w:eastAsia="Arial" w:hAnsi="Arial"/>
          <w:sz w:val="19"/>
          <w:szCs w:val="19"/>
          <w:b w:val="1"/>
          <w:bCs w:val="1"/>
          <w:u w:val="single" w:color="auto"/>
          <w:color w:val="auto"/>
        </w:rPr>
        <w:t>Redeemable Shares</w:t>
      </w:r>
      <w:r>
        <w:rPr>
          <w:rFonts w:ascii="Arial" w:cs="Arial" w:eastAsia="Arial" w:hAnsi="Arial"/>
          <w:sz w:val="19"/>
          <w:szCs w:val="19"/>
          <w:color w:val="auto"/>
        </w:rPr>
        <w:t>.</w:t>
      </w:r>
    </w:p>
    <w:p>
      <w:pPr>
        <w:spacing w:after="0" w:line="79"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The Company may, subject to applicable law, issue redeemable shares or other securities and redeem the same upon terms and conditions to be set forth in a written agreement between the Company and the holder of such shares or in their terms of issuance.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Transfer of Shares</w:t>
      </w:r>
    </w:p>
    <w:p>
      <w:pPr>
        <w:spacing w:after="0" w:line="73" w:lineRule="exact"/>
        <w:rPr>
          <w:sz w:val="20"/>
          <w:szCs w:val="20"/>
          <w:color w:val="auto"/>
        </w:rPr>
      </w:pPr>
    </w:p>
    <w:p>
      <w:pPr>
        <w:ind w:left="620" w:hanging="614"/>
        <w:spacing w:after="0"/>
        <w:tabs>
          <w:tab w:leader="none" w:pos="620" w:val="left"/>
        </w:tabs>
        <w:numPr>
          <w:ilvl w:val="0"/>
          <w:numId w:val="117"/>
        </w:numPr>
        <w:rPr>
          <w:rFonts w:ascii="Arial" w:cs="Arial" w:eastAsia="Arial" w:hAnsi="Arial"/>
          <w:sz w:val="19"/>
          <w:szCs w:val="19"/>
          <w:color w:val="auto"/>
        </w:rPr>
      </w:pPr>
      <w:r>
        <w:rPr>
          <w:rFonts w:ascii="Arial" w:cs="Arial" w:eastAsia="Arial" w:hAnsi="Arial"/>
          <w:sz w:val="19"/>
          <w:szCs w:val="19"/>
          <w:b w:val="1"/>
          <w:bCs w:val="1"/>
          <w:u w:val="single" w:color="auto"/>
          <w:color w:val="auto"/>
        </w:rPr>
        <w:t>Registration of Transfer</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1"/>
        <w:spacing w:after="0" w:line="222" w:lineRule="auto"/>
        <w:rPr>
          <w:rFonts w:ascii="Arial" w:cs="Arial" w:eastAsia="Arial" w:hAnsi="Arial"/>
          <w:sz w:val="19"/>
          <w:szCs w:val="19"/>
          <w:color w:val="auto"/>
        </w:rPr>
      </w:pPr>
      <w:r>
        <w:rPr>
          <w:rFonts w:ascii="Arial" w:cs="Arial" w:eastAsia="Arial" w:hAnsi="Arial"/>
          <w:sz w:val="18"/>
          <w:szCs w:val="18"/>
          <w:color w:val="auto"/>
        </w:rPr>
        <w:t>No transfer of shares shall be registered unless a proper writing or instrument of transfer (in any customary form or any other form satisfactory to the Board of Directors or an officer of the Company to be designated by the Chief Executive Officer) has been submitted to the Company (or its transfer agent), together with any share certificate(s) and such other evidence of title as the Board of Directors or an officer of the Company to be designated by the Chief Executive Officer may require. Notwithstanding anything to the contrary herein, shares registered in the name of The Depository Trust Company or its nominee shall be transferrable in accordance with the policies and procedures of The Depository Trust Company.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 and may approve other methods of recognizing the transfer of shares in order to facilitate the trading of the Company’s shares on the New York Stock Exchange or on any other stock exchange on which the Company’s shares are then listed for trading.</w:t>
      </w:r>
    </w:p>
    <w:p>
      <w:pPr>
        <w:spacing w:after="0" w:line="40" w:lineRule="exact"/>
        <w:rPr>
          <w:rFonts w:ascii="Arial" w:cs="Arial" w:eastAsia="Arial" w:hAnsi="Arial"/>
          <w:sz w:val="19"/>
          <w:szCs w:val="19"/>
          <w:color w:val="auto"/>
        </w:rPr>
      </w:pPr>
    </w:p>
    <w:p>
      <w:pPr>
        <w:ind w:left="620" w:hanging="614"/>
        <w:spacing w:after="0"/>
        <w:tabs>
          <w:tab w:leader="none" w:pos="620" w:val="left"/>
        </w:tabs>
        <w:numPr>
          <w:ilvl w:val="0"/>
          <w:numId w:val="117"/>
        </w:numPr>
        <w:rPr>
          <w:rFonts w:ascii="Arial" w:cs="Arial" w:eastAsia="Arial" w:hAnsi="Arial"/>
          <w:sz w:val="19"/>
          <w:szCs w:val="19"/>
          <w:color w:val="auto"/>
        </w:rPr>
      </w:pPr>
      <w:r>
        <w:rPr>
          <w:rFonts w:ascii="Arial" w:cs="Arial" w:eastAsia="Arial" w:hAnsi="Arial"/>
          <w:sz w:val="19"/>
          <w:szCs w:val="19"/>
          <w:b w:val="1"/>
          <w:bCs w:val="1"/>
          <w:u w:val="single" w:color="auto"/>
          <w:color w:val="auto"/>
        </w:rPr>
        <w:t>Suspension of Registration</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6" w:lineRule="auto"/>
        <w:rPr>
          <w:rFonts w:ascii="Arial" w:cs="Arial" w:eastAsia="Arial" w:hAnsi="Arial"/>
          <w:sz w:val="19"/>
          <w:szCs w:val="19"/>
          <w:color w:val="auto"/>
        </w:rPr>
      </w:pPr>
      <w:r>
        <w:rPr>
          <w:rFonts w:ascii="Arial" w:cs="Arial" w:eastAsia="Arial" w:hAnsi="Arial"/>
          <w:sz w:val="19"/>
          <w:szCs w:val="19"/>
          <w:color w:val="auto"/>
        </w:rPr>
        <w:t>The Board of Directors may, in its discretion to the extent it deems necessary, close the Register of Shareholders of registration of transfers of shares for a period determined by the Board of Directors, and no registrations of transfers of shares shall be made by the Company during any such period during which the Register of Shareholders is so closed.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8" w:lineRule="exact"/>
        <w:rPr>
          <w:rFonts w:ascii="Arial" w:cs="Arial" w:eastAsia="Arial" w:hAnsi="Arial"/>
          <w:sz w:val="19"/>
          <w:szCs w:val="19"/>
          <w:color w:val="auto"/>
        </w:rPr>
      </w:pPr>
    </w:p>
    <w:p>
      <w:pPr>
        <w:ind w:left="5540" w:hanging="88"/>
        <w:spacing w:after="0"/>
        <w:tabs>
          <w:tab w:leader="none" w:pos="55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12 -</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Transmission of Shares</w:t>
      </w:r>
    </w:p>
    <w:p>
      <w:pPr>
        <w:spacing w:after="0" w:line="73" w:lineRule="exact"/>
        <w:rPr>
          <w:sz w:val="20"/>
          <w:szCs w:val="20"/>
          <w:color w:val="auto"/>
        </w:rPr>
      </w:pPr>
    </w:p>
    <w:p>
      <w:pPr>
        <w:ind w:left="620" w:hanging="614"/>
        <w:spacing w:after="0"/>
        <w:tabs>
          <w:tab w:leader="none" w:pos="620" w:val="left"/>
        </w:tabs>
        <w:numPr>
          <w:ilvl w:val="0"/>
          <w:numId w:val="118"/>
        </w:numPr>
        <w:rPr>
          <w:rFonts w:ascii="Arial" w:cs="Arial" w:eastAsia="Arial" w:hAnsi="Arial"/>
          <w:sz w:val="19"/>
          <w:szCs w:val="19"/>
          <w:color w:val="auto"/>
        </w:rPr>
      </w:pPr>
      <w:r>
        <w:rPr>
          <w:rFonts w:ascii="Arial" w:cs="Arial" w:eastAsia="Arial" w:hAnsi="Arial"/>
          <w:sz w:val="19"/>
          <w:szCs w:val="19"/>
          <w:b w:val="1"/>
          <w:bCs w:val="1"/>
          <w:u w:val="single" w:color="auto"/>
          <w:color w:val="auto"/>
        </w:rPr>
        <w:t>Decedents’ Shares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0" w:lineRule="auto"/>
        <w:rPr>
          <w:rFonts w:ascii="Arial" w:cs="Arial" w:eastAsia="Arial" w:hAnsi="Arial"/>
          <w:sz w:val="19"/>
          <w:szCs w:val="19"/>
          <w:color w:val="auto"/>
        </w:rPr>
      </w:pPr>
      <w:r>
        <w:rPr>
          <w:rFonts w:ascii="Arial" w:cs="Arial" w:eastAsia="Arial" w:hAnsi="Arial"/>
          <w:sz w:val="19"/>
          <w:szCs w:val="19"/>
          <w:color w:val="auto"/>
        </w:rPr>
        <w:t>Upon the death of a Shareholder, the Company shall recognize the custodian or administrator of the estate or executor of the will, and in the absence of such, the lawful heirs of the Shareholder, as the only holders of the right for the shares of the deceased Shareholder, after receipt of evidence to the entitlement thereto, as determined by the Board of Directors or an officer of the Company to be designated by the Chief Executive Officer.</w:t>
      </w:r>
    </w:p>
    <w:p>
      <w:pPr>
        <w:spacing w:after="0" w:line="40" w:lineRule="exact"/>
        <w:rPr>
          <w:rFonts w:ascii="Arial" w:cs="Arial" w:eastAsia="Arial" w:hAnsi="Arial"/>
          <w:sz w:val="19"/>
          <w:szCs w:val="19"/>
          <w:color w:val="auto"/>
        </w:rPr>
      </w:pPr>
    </w:p>
    <w:p>
      <w:pPr>
        <w:ind w:left="620" w:hanging="614"/>
        <w:spacing w:after="0"/>
        <w:tabs>
          <w:tab w:leader="none" w:pos="620" w:val="left"/>
        </w:tabs>
        <w:numPr>
          <w:ilvl w:val="0"/>
          <w:numId w:val="118"/>
        </w:numPr>
        <w:rPr>
          <w:rFonts w:ascii="Arial" w:cs="Arial" w:eastAsia="Arial" w:hAnsi="Arial"/>
          <w:sz w:val="19"/>
          <w:szCs w:val="19"/>
          <w:color w:val="auto"/>
        </w:rPr>
      </w:pPr>
      <w:r>
        <w:rPr>
          <w:rFonts w:ascii="Arial" w:cs="Arial" w:eastAsia="Arial" w:hAnsi="Arial"/>
          <w:sz w:val="19"/>
          <w:szCs w:val="19"/>
          <w:b w:val="1"/>
          <w:bCs w:val="1"/>
          <w:u w:val="single" w:color="auto"/>
          <w:color w:val="auto"/>
        </w:rPr>
        <w:t>Receivers and Liquidators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0" w:lineRule="auto"/>
        <w:tabs>
          <w:tab w:leader="none" w:pos="1269"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Shareholder.</w:t>
      </w:r>
    </w:p>
    <w:p>
      <w:pPr>
        <w:spacing w:after="0" w:line="46" w:lineRule="exact"/>
        <w:rPr>
          <w:rFonts w:ascii="Arial" w:cs="Arial" w:eastAsia="Arial" w:hAnsi="Arial"/>
          <w:sz w:val="19"/>
          <w:szCs w:val="19"/>
          <w:color w:val="auto"/>
        </w:rPr>
      </w:pPr>
    </w:p>
    <w:p>
      <w:pPr>
        <w:jc w:val="both"/>
        <w:ind w:left="640" w:hanging="9"/>
        <w:spacing w:after="0" w:line="225" w:lineRule="auto"/>
        <w:tabs>
          <w:tab w:leader="none" w:pos="126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of Directors (or an officer of the Company to be designated by the Chief Executive Officer) may deem sufficient as to his or her authority to act in such capacity or under this Article, shall with the consent of the Board of Directors or an officer of the Company to be designated by the Chief Executive Officer (which the Board of Directors or such officer may grant or refuse in its absolute discretion), be registered as a Shareholder in respect of such shares, or may, subject to the regulations as to transfer herein contained, transfer such shares.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General Meetings</w:t>
      </w:r>
    </w:p>
    <w:p>
      <w:pPr>
        <w:spacing w:after="0" w:line="73" w:lineRule="exact"/>
        <w:rPr>
          <w:sz w:val="20"/>
          <w:szCs w:val="20"/>
          <w:color w:val="auto"/>
        </w:rPr>
      </w:pPr>
    </w:p>
    <w:p>
      <w:pPr>
        <w:ind w:left="620" w:hanging="614"/>
        <w:spacing w:after="0"/>
        <w:tabs>
          <w:tab w:leader="none" w:pos="620" w:val="left"/>
        </w:tabs>
        <w:numPr>
          <w:ilvl w:val="0"/>
          <w:numId w:val="119"/>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 Meetings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hanging="9"/>
        <w:spacing w:after="0" w:line="237" w:lineRule="auto"/>
        <w:tabs>
          <w:tab w:leader="none" w:pos="1269"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An annual General Meeting (“</w:t>
      </w:r>
      <w:r>
        <w:rPr>
          <w:rFonts w:ascii="Arial" w:cs="Arial" w:eastAsia="Arial" w:hAnsi="Arial"/>
          <w:sz w:val="19"/>
          <w:szCs w:val="19"/>
          <w:u w:val="single" w:color="auto"/>
          <w:color w:val="auto"/>
        </w:rPr>
        <w:t>Annual General Meeting</w:t>
      </w:r>
      <w:r>
        <w:rPr>
          <w:rFonts w:ascii="Arial" w:cs="Arial" w:eastAsia="Arial" w:hAnsi="Arial"/>
          <w:sz w:val="19"/>
          <w:szCs w:val="19"/>
          <w:color w:val="auto"/>
        </w:rPr>
        <w:t>”) shall be held at such time and at such place, either within or outside of the State of Israel, as may be determined by the Board of Directors.</w:t>
      </w:r>
    </w:p>
    <w:p>
      <w:pPr>
        <w:spacing w:after="0" w:line="45" w:lineRule="exact"/>
        <w:rPr>
          <w:rFonts w:ascii="Arial" w:cs="Arial" w:eastAsia="Arial" w:hAnsi="Arial"/>
          <w:sz w:val="19"/>
          <w:szCs w:val="19"/>
          <w:color w:val="auto"/>
        </w:rPr>
      </w:pPr>
    </w:p>
    <w:p>
      <w:pPr>
        <w:jc w:val="both"/>
        <w:ind w:left="640" w:hanging="9"/>
        <w:spacing w:after="0" w:line="226" w:lineRule="auto"/>
        <w:tabs>
          <w:tab w:leader="none" w:pos="126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All General Meetings other than Annual General Meetings shall be called “</w:t>
      </w:r>
      <w:r>
        <w:rPr>
          <w:rFonts w:ascii="Arial" w:cs="Arial" w:eastAsia="Arial" w:hAnsi="Arial"/>
          <w:sz w:val="19"/>
          <w:szCs w:val="19"/>
          <w:u w:val="single" w:color="auto"/>
          <w:color w:val="auto"/>
        </w:rPr>
        <w:t>Special General Meetings</w:t>
      </w:r>
      <w:r>
        <w:rPr>
          <w:rFonts w:ascii="Arial" w:cs="Arial" w:eastAsia="Arial" w:hAnsi="Arial"/>
          <w:sz w:val="19"/>
          <w:szCs w:val="19"/>
          <w:color w:val="auto"/>
        </w:rPr>
        <w:t>”. The Board of Directors may, at its discretion, convene a Special General Meeting at such time and place, within or outside of the State of Israel, as may be determined by the Board of Directors.</w:t>
      </w:r>
    </w:p>
    <w:p>
      <w:pPr>
        <w:spacing w:after="0" w:line="45" w:lineRule="exact"/>
        <w:rPr>
          <w:rFonts w:ascii="Arial" w:cs="Arial" w:eastAsia="Arial" w:hAnsi="Arial"/>
          <w:sz w:val="19"/>
          <w:szCs w:val="19"/>
          <w:color w:val="auto"/>
        </w:rPr>
      </w:pPr>
    </w:p>
    <w:p>
      <w:pPr>
        <w:jc w:val="both"/>
        <w:ind w:left="640" w:hanging="9"/>
        <w:spacing w:after="0" w:line="217" w:lineRule="auto"/>
        <w:tabs>
          <w:tab w:leader="none" w:pos="1269"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If so determined by the Board of Directors, an Annual General Meeting or a Special General Meeting may be held through the use of any means of communication approved by the Board of Directors, provided all of the participating Shareholders can hear each other simultaneously. A resolution approved by use of means of communications as aforesaid, shall be deemed to be a resolution lawfully adopted at such general meeting and a Shareholder shall be deemed present in person at such general meeting if attending such meeting through the means of communication used at such meeting.</w:t>
      </w:r>
    </w:p>
    <w:p>
      <w:pPr>
        <w:spacing w:after="0" w:line="39" w:lineRule="exact"/>
        <w:rPr>
          <w:rFonts w:ascii="Arial" w:cs="Arial" w:eastAsia="Arial" w:hAnsi="Arial"/>
          <w:sz w:val="19"/>
          <w:szCs w:val="19"/>
          <w:color w:val="auto"/>
        </w:rPr>
      </w:pPr>
    </w:p>
    <w:p>
      <w:pPr>
        <w:ind w:left="620" w:hanging="614"/>
        <w:spacing w:after="0"/>
        <w:tabs>
          <w:tab w:leader="none" w:pos="620" w:val="left"/>
        </w:tabs>
        <w:numPr>
          <w:ilvl w:val="0"/>
          <w:numId w:val="119"/>
        </w:numPr>
        <w:rPr>
          <w:rFonts w:ascii="Arial" w:cs="Arial" w:eastAsia="Arial" w:hAnsi="Arial"/>
          <w:sz w:val="19"/>
          <w:szCs w:val="19"/>
          <w:color w:val="auto"/>
        </w:rPr>
      </w:pPr>
      <w:r>
        <w:rPr>
          <w:rFonts w:ascii="Arial" w:cs="Arial" w:eastAsia="Arial" w:hAnsi="Arial"/>
          <w:sz w:val="19"/>
          <w:szCs w:val="19"/>
          <w:b w:val="1"/>
          <w:bCs w:val="1"/>
          <w:u w:val="single" w:color="auto"/>
          <w:color w:val="auto"/>
        </w:rPr>
        <w:t>Record Date for General Meeting</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13" w:lineRule="auto"/>
        <w:rPr>
          <w:rFonts w:ascii="Arial" w:cs="Arial" w:eastAsia="Arial" w:hAnsi="Arial"/>
          <w:sz w:val="19"/>
          <w:szCs w:val="19"/>
          <w:color w:val="auto"/>
        </w:rPr>
      </w:pPr>
      <w:r>
        <w:rPr>
          <w:rFonts w:ascii="Arial" w:cs="Arial" w:eastAsia="Arial" w:hAnsi="Arial"/>
          <w:sz w:val="19"/>
          <w:szCs w:val="19"/>
          <w:color w:val="auto"/>
        </w:rPr>
        <w:t xml:space="preserve">Notwithstanding any provision of these Articles to the contrary, and to allow the Company to determine the Shareholders entitled to notice of or to vote at any General Meeting or any adjournment thereof, or entitled to receive payment of any dividend or other distribution or grant of any rights, or entitled to exercise any rights in respect of or to take or be the subject of any other action, the Board of Directors may fix a record date for the General Meeting, which shall not be more than the maximum period and not less than the minimum period permitted by law. A determination of Shareholders of record entitled to notice of or to vote at a General Meeting shall apply to any adjournment of the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of Directors may fix a new record date for the adjourned meeting.</w:t>
      </w:r>
    </w:p>
    <w:p>
      <w:pPr>
        <w:spacing w:after="0" w:line="41" w:lineRule="exact"/>
        <w:rPr>
          <w:rFonts w:ascii="Arial" w:cs="Arial" w:eastAsia="Arial" w:hAnsi="Arial"/>
          <w:sz w:val="19"/>
          <w:szCs w:val="19"/>
          <w:color w:val="auto"/>
        </w:rPr>
      </w:pPr>
    </w:p>
    <w:p>
      <w:pPr>
        <w:ind w:left="620" w:hanging="614"/>
        <w:spacing w:after="0"/>
        <w:tabs>
          <w:tab w:leader="none" w:pos="620" w:val="left"/>
        </w:tabs>
        <w:numPr>
          <w:ilvl w:val="0"/>
          <w:numId w:val="119"/>
        </w:numPr>
        <w:rPr>
          <w:rFonts w:ascii="Arial" w:cs="Arial" w:eastAsia="Arial" w:hAnsi="Arial"/>
          <w:sz w:val="19"/>
          <w:szCs w:val="19"/>
          <w:color w:val="auto"/>
        </w:rPr>
      </w:pPr>
      <w:r>
        <w:rPr>
          <w:rFonts w:ascii="Arial" w:cs="Arial" w:eastAsia="Arial" w:hAnsi="Arial"/>
          <w:sz w:val="19"/>
          <w:szCs w:val="19"/>
          <w:b w:val="1"/>
          <w:bCs w:val="1"/>
          <w:u w:val="single" w:color="auto"/>
          <w:color w:val="auto"/>
        </w:rPr>
        <w:t>Shareholder Proposal Request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0" w:lineRule="auto"/>
        <w:tabs>
          <w:tab w:leader="none" w:pos="1269"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Any Shareholder or Shareholders of the Company holding at least the required percentage under the Companies Law of the voting rights of the Company which entitles such Shareholder(s) to require the Company to include a matter on the agenda of a General Meeting (the “</w:t>
      </w:r>
      <w:r>
        <w:rPr>
          <w:rFonts w:ascii="Arial" w:cs="Arial" w:eastAsia="Arial" w:hAnsi="Arial"/>
          <w:sz w:val="19"/>
          <w:szCs w:val="19"/>
          <w:u w:val="single" w:color="auto"/>
          <w:color w:val="auto"/>
        </w:rPr>
        <w:t>Proposing Shareholder(s)</w:t>
      </w:r>
      <w:r>
        <w:rPr>
          <w:rFonts w:ascii="Arial" w:cs="Arial" w:eastAsia="Arial" w:hAnsi="Arial"/>
          <w:sz w:val="19"/>
          <w:szCs w:val="19"/>
          <w:color w:val="auto"/>
        </w:rPr>
        <w:t>”) may request, subject to the Companies Law, that the Board of Directors include a matter on the agenda of a General Meeting to be held in the future,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0" w:lineRule="exact"/>
        <w:rPr>
          <w:rFonts w:ascii="Arial" w:cs="Arial" w:eastAsia="Arial" w:hAnsi="Arial"/>
          <w:sz w:val="19"/>
          <w:szCs w:val="19"/>
          <w:color w:val="auto"/>
        </w:rPr>
      </w:pPr>
    </w:p>
    <w:p>
      <w:pPr>
        <w:ind w:left="5540" w:hanging="88"/>
        <w:spacing w:after="0"/>
        <w:tabs>
          <w:tab w:leader="none" w:pos="554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13 -</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54" w:lineRule="exact"/>
        <w:rPr>
          <w:sz w:val="20"/>
          <w:szCs w:val="20"/>
          <w:color w:val="auto"/>
        </w:rPr>
      </w:pPr>
    </w:p>
    <w:p>
      <w:pPr>
        <w:jc w:val="both"/>
        <w:ind w:left="9"/>
        <w:spacing w:after="0" w:line="217" w:lineRule="auto"/>
        <w:rPr>
          <w:sz w:val="20"/>
          <w:szCs w:val="20"/>
          <w:color w:val="auto"/>
        </w:rPr>
      </w:pPr>
      <w:r>
        <w:rPr>
          <w:rFonts w:ascii="Arial" w:cs="Arial" w:eastAsia="Arial" w:hAnsi="Arial"/>
          <w:sz w:val="18"/>
          <w:szCs w:val="18"/>
          <w:color w:val="auto"/>
        </w:rPr>
        <w:t>provided that the Board of Directors determines that the matter is appropriate to be considered at a General Meeting (a “</w:t>
      </w:r>
      <w:r>
        <w:rPr>
          <w:rFonts w:ascii="Arial" w:cs="Arial" w:eastAsia="Arial" w:hAnsi="Arial"/>
          <w:sz w:val="18"/>
          <w:szCs w:val="18"/>
          <w:u w:val="single" w:color="auto"/>
          <w:color w:val="auto"/>
        </w:rPr>
        <w:t>Proposal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Request</w:t>
      </w:r>
      <w:r>
        <w:rPr>
          <w:rFonts w:ascii="Arial" w:cs="Arial" w:eastAsia="Arial" w:hAnsi="Arial"/>
          <w:sz w:val="18"/>
          <w:szCs w:val="18"/>
          <w:color w:val="auto"/>
        </w:rPr>
        <w:t>”). In order for the Board of Directors to consider a Proposal Request and whether to include the matter stated therein in the agenda of a General Meeting, notice of the Proposal Request must be timely delivered in accordance with applicable law, and the Proposal Request must comply with the requirements of these Articles (including this Article 26) and any applicable law and stock exchange rules and regulations. The Proposal Request must be in writing, signed by all of the Proposing Shareholder(s) making such request, delivered, either in person or by registered mail, postage prepaid, and received by the Secretary or the General Counsel of the Company (or, in the absence thereof, by the Chief Executive Officer of the Company). To be considered timely, a Proposal Request must be received within the time periods prescribed by applicable law.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a Proposal Request must include the following: (i) the name, address, telephone number, fax number and email address of the Proposing Shareholder (or each Proposing Shareholder, as the case may be) and, if an entity, the name(s) of the person(s) that controls or manages such entity; (ii) the number and class of shares of the Company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a representation that the Proposing Shareholder(s) intend to appear in person or by proxy at the meeting; (iv) a description of all arrangements or 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p>
      <w:pPr>
        <w:spacing w:after="0" w:line="58" w:lineRule="exact"/>
        <w:rPr>
          <w:sz w:val="20"/>
          <w:szCs w:val="20"/>
          <w:color w:val="auto"/>
        </w:rPr>
      </w:pPr>
    </w:p>
    <w:p>
      <w:pPr>
        <w:jc w:val="both"/>
        <w:ind w:left="9"/>
        <w:spacing w:after="0" w:line="221"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spacing w:after="0" w:line="45" w:lineRule="exact"/>
        <w:rPr>
          <w:sz w:val="20"/>
          <w:szCs w:val="20"/>
          <w:color w:val="auto"/>
        </w:rPr>
      </w:pPr>
    </w:p>
    <w:p>
      <w:pPr>
        <w:ind w:left="9" w:hanging="9"/>
        <w:spacing w:after="0" w:line="261" w:lineRule="auto"/>
        <w:tabs>
          <w:tab w:leader="none" w:pos="6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required pursuant to this Article shall be updated as of (i) the record date of the General Meeting, (ii) five business days before the General Meeting, and (iii) as of the General Meeting, and any adjournment or postponement thereof.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4909" w:hanging="88"/>
        <w:spacing w:after="0"/>
        <w:tabs>
          <w:tab w:leader="none" w:pos="4909" w:val="left"/>
        </w:tabs>
        <w:numPr>
          <w:ilvl w:val="1"/>
          <w:numId w:val="120"/>
        </w:numPr>
        <w:rPr>
          <w:rFonts w:ascii="Arial" w:cs="Arial" w:eastAsia="Arial" w:hAnsi="Arial"/>
          <w:sz w:val="16"/>
          <w:szCs w:val="16"/>
          <w:color w:val="auto"/>
        </w:rPr>
      </w:pPr>
      <w:r>
        <w:rPr>
          <w:rFonts w:ascii="Arial" w:cs="Arial" w:eastAsia="Arial" w:hAnsi="Arial"/>
          <w:sz w:val="16"/>
          <w:szCs w:val="16"/>
          <w:color w:val="auto"/>
        </w:rPr>
        <w:t>14 -</w:t>
      </w:r>
    </w:p>
    <w:p>
      <w:pPr>
        <w:sectPr>
          <w:pgSz w:w="11900" w:h="16838" w:orient="portrait"/>
          <w:cols w:equalWidth="0" w:num="1">
            <w:col w:w="10609"/>
          </w:cols>
          <w:pgMar w:left="951" w:top="1440" w:right="339" w:bottom="1440" w:gutter="0" w:footer="0" w:header="0"/>
        </w:sectPr>
      </w:pPr>
    </w:p>
    <w:bookmarkStart w:id="187" w:name="page188"/>
    <w:bookmarkEnd w:id="187"/>
    <w:p>
      <w:pPr>
        <w:spacing w:after="0" w:line="154" w:lineRule="exact"/>
        <w:rPr>
          <w:sz w:val="20"/>
          <w:szCs w:val="20"/>
          <w:color w:val="auto"/>
        </w:rPr>
      </w:pPr>
    </w:p>
    <w:p>
      <w:pPr>
        <w:jc w:val="both"/>
        <w:ind w:left="640" w:hanging="9"/>
        <w:spacing w:after="0" w:line="226" w:lineRule="auto"/>
        <w:tabs>
          <w:tab w:leader="none" w:pos="126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The provisions of Articles 26(a) and 26(b)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any matter to be included on the agenda of a Special General Meeting which is convened pursuant to a request of a Shareholder duly delivered to the Company in accordance with the Companies Law.</w:t>
      </w:r>
    </w:p>
    <w:p>
      <w:pPr>
        <w:spacing w:after="0" w:line="45" w:lineRule="exact"/>
        <w:rPr>
          <w:rFonts w:ascii="Arial" w:cs="Arial" w:eastAsia="Arial" w:hAnsi="Arial"/>
          <w:sz w:val="19"/>
          <w:szCs w:val="19"/>
          <w:color w:val="auto"/>
        </w:rPr>
      </w:pPr>
    </w:p>
    <w:p>
      <w:pPr>
        <w:ind w:left="640" w:hanging="9"/>
        <w:spacing w:after="0" w:line="261" w:lineRule="auto"/>
        <w:tabs>
          <w:tab w:leader="none" w:pos="126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26 may only be amended, replaced or suspended by a resolution adopted at a General Meeting by a supermajority of at least sixty-five percent (65%) of the total voting power of the Shareholders.</w:t>
      </w:r>
    </w:p>
    <w:p>
      <w:pPr>
        <w:spacing w:after="0" w:line="20" w:lineRule="exact"/>
        <w:rPr>
          <w:rFonts w:ascii="Arial" w:cs="Arial" w:eastAsia="Arial" w:hAnsi="Arial"/>
          <w:sz w:val="18"/>
          <w:szCs w:val="18"/>
          <w:color w:val="auto"/>
        </w:rPr>
      </w:pPr>
    </w:p>
    <w:p>
      <w:pPr>
        <w:ind w:left="620" w:hanging="614"/>
        <w:spacing w:after="0"/>
        <w:tabs>
          <w:tab w:leader="none" w:pos="620" w:val="left"/>
        </w:tabs>
        <w:numPr>
          <w:ilvl w:val="0"/>
          <w:numId w:val="122"/>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 of General Meetings; Omission to Give Notice</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1280" w:hanging="649"/>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is not required to give notice of a General Meeting, subject to any mandatory provision of the Companies Law.</w:t>
      </w:r>
    </w:p>
    <w:p>
      <w:pPr>
        <w:spacing w:after="0" w:line="84" w:lineRule="exact"/>
        <w:rPr>
          <w:rFonts w:ascii="Arial" w:cs="Arial" w:eastAsia="Arial" w:hAnsi="Arial"/>
          <w:sz w:val="18"/>
          <w:szCs w:val="18"/>
          <w:color w:val="auto"/>
        </w:rPr>
      </w:pPr>
    </w:p>
    <w:p>
      <w:pPr>
        <w:ind w:left="640" w:hanging="9"/>
        <w:spacing w:after="0" w:line="237" w:lineRule="auto"/>
        <w:tabs>
          <w:tab w:leader="none" w:pos="126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accidental omission to give notice of a General Meeting to any Shareholder, or the non-receipt of notice sent to such Shareholder, shall not invalidate the proceedings at such meeting or any resolution adopted thereat.</w:t>
      </w:r>
    </w:p>
    <w:p>
      <w:pPr>
        <w:spacing w:after="0" w:line="45" w:lineRule="exact"/>
        <w:rPr>
          <w:rFonts w:ascii="Arial" w:cs="Arial" w:eastAsia="Arial" w:hAnsi="Arial"/>
          <w:sz w:val="19"/>
          <w:szCs w:val="19"/>
          <w:color w:val="auto"/>
        </w:rPr>
      </w:pPr>
    </w:p>
    <w:p>
      <w:pPr>
        <w:jc w:val="both"/>
        <w:ind w:left="640" w:hanging="9"/>
        <w:spacing w:after="0" w:line="226" w:lineRule="auto"/>
        <w:tabs>
          <w:tab w:leader="none" w:pos="1269" w:val="left"/>
        </w:tabs>
        <w:numPr>
          <w:ilvl w:val="1"/>
          <w:numId w:val="122"/>
        </w:numPr>
        <w:rPr>
          <w:rFonts w:ascii="Arial" w:cs="Arial" w:eastAsia="Arial" w:hAnsi="Arial"/>
          <w:sz w:val="19"/>
          <w:szCs w:val="19"/>
          <w:color w:val="auto"/>
        </w:rPr>
      </w:pPr>
      <w:r>
        <w:rPr>
          <w:rFonts w:ascii="Arial" w:cs="Arial" w:eastAsia="Arial" w:hAnsi="Arial"/>
          <w:sz w:val="19"/>
          <w:szCs w:val="19"/>
          <w:color w:val="auto"/>
        </w:rPr>
        <w:t>No Shareholder present, in person or by proxy, at any time during a General Meeting shall be entitled to seek the cancellation or invalidation of any proceedings or resolutions adopted at such General Meeting on account of any defect in the notice of such meeting relating to the time or the place thereof, or any item acted upon at such meeting.</w:t>
      </w:r>
    </w:p>
    <w:p>
      <w:pPr>
        <w:spacing w:after="0" w:line="45" w:lineRule="exact"/>
        <w:rPr>
          <w:rFonts w:ascii="Arial" w:cs="Arial" w:eastAsia="Arial" w:hAnsi="Arial"/>
          <w:sz w:val="19"/>
          <w:szCs w:val="19"/>
          <w:color w:val="auto"/>
        </w:rPr>
      </w:pPr>
    </w:p>
    <w:p>
      <w:pPr>
        <w:jc w:val="both"/>
        <w:ind w:left="640" w:hanging="9"/>
        <w:spacing w:after="0" w:line="226" w:lineRule="auto"/>
        <w:tabs>
          <w:tab w:leader="none" w:pos="126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In addition to any places at which the Company may make available for review by Shareholders the full text of the proposed resolutions to be adopted at a General Meeting, as required by the Companies Law, the Company may add additional places for Shareholders to review such proposed resolutions, including an internet site.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Proceedings at General Meetings</w:t>
      </w:r>
    </w:p>
    <w:p>
      <w:pPr>
        <w:spacing w:after="0" w:line="73" w:lineRule="exact"/>
        <w:rPr>
          <w:sz w:val="20"/>
          <w:szCs w:val="20"/>
          <w:color w:val="auto"/>
        </w:rPr>
      </w:pPr>
    </w:p>
    <w:p>
      <w:pPr>
        <w:ind w:left="620" w:hanging="614"/>
        <w:spacing w:after="0"/>
        <w:tabs>
          <w:tab w:leader="none" w:pos="620" w:val="left"/>
        </w:tabs>
        <w:numPr>
          <w:ilvl w:val="0"/>
          <w:numId w:val="123"/>
        </w:numPr>
        <w:rPr>
          <w:rFonts w:ascii="Arial" w:cs="Arial" w:eastAsia="Arial" w:hAnsi="Arial"/>
          <w:sz w:val="19"/>
          <w:szCs w:val="19"/>
          <w:color w:val="auto"/>
        </w:rPr>
      </w:pPr>
      <w:r>
        <w:rPr>
          <w:rFonts w:ascii="Arial" w:cs="Arial" w:eastAsia="Arial" w:hAnsi="Arial"/>
          <w:sz w:val="19"/>
          <w:szCs w:val="19"/>
          <w:b w:val="1"/>
          <w:bCs w:val="1"/>
          <w:u w:val="single" w:color="auto"/>
          <w:color w:val="auto"/>
        </w:rPr>
        <w:t>Quorum</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hanging="9"/>
        <w:spacing w:after="0" w:line="291" w:lineRule="auto"/>
        <w:tabs>
          <w:tab w:leader="none" w:pos="126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No business shall be transacted at a General Meeting, or at any adjournment thereof, unless the quorum required under these Articles for such General Meeting or such adjourned meeting, as the case may be, is present when the meeting proceeds to business.</w:t>
      </w:r>
    </w:p>
    <w:p>
      <w:pPr>
        <w:spacing w:after="0" w:line="2" w:lineRule="exact"/>
        <w:rPr>
          <w:rFonts w:ascii="Arial" w:cs="Arial" w:eastAsia="Arial" w:hAnsi="Arial"/>
          <w:sz w:val="17"/>
          <w:szCs w:val="17"/>
          <w:color w:val="auto"/>
        </w:rPr>
      </w:pPr>
    </w:p>
    <w:p>
      <w:pPr>
        <w:jc w:val="both"/>
        <w:ind w:left="640" w:hanging="9"/>
        <w:spacing w:after="0" w:line="222" w:lineRule="auto"/>
        <w:tabs>
          <w:tab w:leader="none" w:pos="126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the absence of contrary provisions in these Articles, the requisite quorum for any General Meeting shall be two or more Shareholders (not in default in payment of any sum referred to in Article 14 hereof), present in person or by proxy and holding shares conferring in the aggregate at least thirty-three and one third percent (33⅓%) of the voting power of the Company, provided, however, that with respect to any General Meeting, including Annual General Meeting, that was initiated by and convened pursuant to a resolution adopted by the Board of Directors (and not pursuant to the request of any other person), and, at such time of the General Meeting, the Company is qualified to use the forms and rules of a “foreign private issuer” under the U.S. securities laws, the requisite quorum shall be two or more Shareholders (not in default in payment of any sum referred to in Article 14 hereof) present in person or by proxy and holding shares conferring in the aggregate at least twenty-five percent (25%) of the voting power of the Company. For the purpose of determining the quorum present at a certain General Meeting, a proxy may be deemed to be two (2) or more Shareholders pursuant to the number of Shareholders represented by the proxy holder.</w:t>
      </w:r>
    </w:p>
    <w:p>
      <w:pPr>
        <w:spacing w:after="0" w:line="46" w:lineRule="exact"/>
        <w:rPr>
          <w:rFonts w:ascii="Arial" w:cs="Arial" w:eastAsia="Arial" w:hAnsi="Arial"/>
          <w:sz w:val="18"/>
          <w:szCs w:val="18"/>
          <w:color w:val="auto"/>
        </w:rPr>
      </w:pPr>
    </w:p>
    <w:p>
      <w:pPr>
        <w:jc w:val="both"/>
        <w:ind w:left="640" w:hanging="9"/>
        <w:spacing w:after="0" w:line="237" w:lineRule="auto"/>
        <w:tabs>
          <w:tab w:leader="none" w:pos="126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If within half an hour from the time appointed for the meeting a quorum is not present, then without any further notice the meeting shall be adjourned either (i) to the same day in the next week, at the same time and place, (ii) to such day and at such time and place as indicated in the notice of such meeting, or (iii) to such day and at such time and place as the Chairperson of the General Meeting shall determine (which may be earlier or later than the date pursuant to clause (i) above). No business shall be transacted at any adjourned meeting except business which might lawfully have been transacted at the meeting as originally called. At such adjourned meeting, if the original meeting was convened pursuant to a request under Section 63 of the Companies Law, one or more shareholders, present in person or by proxy, and holding the number of shares required for making such request, shall constitute a quorum, but in any other case any shareholder (not in default as aforesaid) present in person or by proxy, shall constitute a quorum.</w:t>
      </w:r>
    </w:p>
    <w:p>
      <w:pPr>
        <w:spacing w:after="0" w:line="39" w:lineRule="exact"/>
        <w:rPr>
          <w:rFonts w:ascii="Arial" w:cs="Arial" w:eastAsia="Arial" w:hAnsi="Arial"/>
          <w:sz w:val="17"/>
          <w:szCs w:val="17"/>
          <w:color w:val="auto"/>
        </w:rPr>
      </w:pPr>
    </w:p>
    <w:p>
      <w:pPr>
        <w:ind w:left="620" w:hanging="614"/>
        <w:spacing w:after="0"/>
        <w:tabs>
          <w:tab w:leader="none" w:pos="620" w:val="left"/>
        </w:tabs>
        <w:numPr>
          <w:ilvl w:val="0"/>
          <w:numId w:val="123"/>
        </w:numPr>
        <w:rPr>
          <w:rFonts w:ascii="Arial" w:cs="Arial" w:eastAsia="Arial" w:hAnsi="Arial"/>
          <w:sz w:val="19"/>
          <w:szCs w:val="19"/>
          <w:color w:val="auto"/>
        </w:rPr>
      </w:pPr>
      <w:r>
        <w:rPr>
          <w:rFonts w:ascii="Arial" w:cs="Arial" w:eastAsia="Arial" w:hAnsi="Arial"/>
          <w:sz w:val="19"/>
          <w:szCs w:val="19"/>
          <w:b w:val="1"/>
          <w:bCs w:val="1"/>
          <w:u w:val="single" w:color="auto"/>
          <w:color w:val="auto"/>
        </w:rPr>
        <w:t>Chairperson of General Meeting</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spacing w:after="0" w:line="261" w:lineRule="auto"/>
        <w:rPr>
          <w:rFonts w:ascii="Arial" w:cs="Arial" w:eastAsia="Arial" w:hAnsi="Arial"/>
          <w:sz w:val="19"/>
          <w:szCs w:val="19"/>
          <w:color w:val="auto"/>
        </w:rPr>
      </w:pPr>
      <w:r>
        <w:rPr>
          <w:rFonts w:ascii="Arial" w:cs="Arial" w:eastAsia="Arial" w:hAnsi="Arial"/>
          <w:sz w:val="18"/>
          <w:szCs w:val="18"/>
          <w:color w:val="auto"/>
        </w:rPr>
        <w:t>The Chairperson of the Board of Directors shall preside as Chairperson of every General Meeting of the Company. If at any meeting the Chairperson is not present within fifteen (15) minutes after the time fixed for holding the meeting or is unwilling or unable to act as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ind w:left="5540" w:hanging="88"/>
        <w:spacing w:after="0"/>
        <w:tabs>
          <w:tab w:leader="none" w:pos="554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15 -</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4" w:lineRule="exact"/>
        <w:rPr>
          <w:sz w:val="20"/>
          <w:szCs w:val="20"/>
          <w:color w:val="auto"/>
        </w:rPr>
      </w:pPr>
    </w:p>
    <w:p>
      <w:pPr>
        <w:jc w:val="both"/>
        <w:ind w:left="634"/>
        <w:spacing w:after="0" w:line="225" w:lineRule="auto"/>
        <w:rPr>
          <w:sz w:val="20"/>
          <w:szCs w:val="20"/>
          <w:color w:val="auto"/>
        </w:rPr>
      </w:pPr>
      <w:r>
        <w:rPr>
          <w:rFonts w:ascii="Arial" w:cs="Arial" w:eastAsia="Arial" w:hAnsi="Arial"/>
          <w:sz w:val="18"/>
          <w:szCs w:val="18"/>
          <w:color w:val="auto"/>
        </w:rPr>
        <w:t>Chairperson, any of the following may preside as Chairperson of the meeting (and in the following order): a Director designated by the Board of Directors, the Chief Executive Officer, the Chief Financial Officer, the General Counsel, the Secretary or any person designated by any of the foregoing. If at any such meeting none of the foregoing persons is present or all are unwilling or unable to act as Chairperson, the Shareholders present (in person or by proxy) shall choose a Shareholder or its proxy present at the meeting to be Chairperson. The office of Chairperson shall not, by itself, entitle the holder thereof to vote at any General Meeting nor shall it entitle such holder to a second or casting vote (without derogating, however, from the rights of such Chairperson to vote as a Shareholder or proxy of a Shareholder if, in fact, the Chairperson is also a Shareholder or such proxy).</w:t>
      </w:r>
    </w:p>
    <w:p>
      <w:pPr>
        <w:spacing w:after="0" w:line="40" w:lineRule="exact"/>
        <w:rPr>
          <w:sz w:val="20"/>
          <w:szCs w:val="20"/>
          <w:color w:val="auto"/>
        </w:rPr>
      </w:pPr>
    </w:p>
    <w:p>
      <w:pPr>
        <w:ind w:left="614" w:hanging="614"/>
        <w:spacing w:after="0"/>
        <w:tabs>
          <w:tab w:leader="none" w:pos="614" w:val="left"/>
        </w:tabs>
        <w:numPr>
          <w:ilvl w:val="0"/>
          <w:numId w:val="124"/>
        </w:numPr>
        <w:rPr>
          <w:rFonts w:ascii="Arial" w:cs="Arial" w:eastAsia="Arial" w:hAnsi="Arial"/>
          <w:sz w:val="19"/>
          <w:szCs w:val="19"/>
          <w:color w:val="auto"/>
        </w:rPr>
      </w:pPr>
      <w:r>
        <w:rPr>
          <w:rFonts w:ascii="Arial" w:cs="Arial" w:eastAsia="Arial" w:hAnsi="Arial"/>
          <w:sz w:val="19"/>
          <w:szCs w:val="19"/>
          <w:b w:val="1"/>
          <w:bCs w:val="1"/>
          <w:u w:val="single" w:color="auto"/>
          <w:color w:val="auto"/>
        </w:rPr>
        <w:t>Adoption of Resolutions at General Meetings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11" w:lineRule="auto"/>
        <w:tabs>
          <w:tab w:leader="none" w:pos="126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Except as required by the Companies Law or these Articles, including, without limitation, Article 40 below and Article 6, a resolution of the Shareholders shall be adopted if approved by the holders of a simple majority of the voting power represented at the General Meeting in person or by proxy and voting thereon, as one class, and disregarding abstentions from the count of the voting power present and voting. Without limiting the generality of the foregoing, a resolution with respect to a matter or action for which the Companies Law prescribes a higher majority or pursuant to which a provision requiring a higher majority would have been deemed to have been incorporated into these Articles, but for which the Companies Law allows these Articles to provide otherwise (including, Sections 327 and 24 of the Companies Law), shall be adopted by a simple majority of the voting power represented at the General Meeting in person or by proxy and voting thereon, as one class, and disregarding abstentions from the count of the voting power present and voting.</w:t>
      </w:r>
    </w:p>
    <w:p>
      <w:pPr>
        <w:spacing w:after="0" w:line="46" w:lineRule="exact"/>
        <w:rPr>
          <w:rFonts w:ascii="Arial" w:cs="Arial" w:eastAsia="Arial" w:hAnsi="Arial"/>
          <w:sz w:val="19"/>
          <w:szCs w:val="19"/>
          <w:color w:val="auto"/>
        </w:rPr>
      </w:pPr>
    </w:p>
    <w:p>
      <w:pPr>
        <w:jc w:val="both"/>
        <w:ind w:left="634" w:hanging="9"/>
        <w:spacing w:after="0" w:line="217" w:lineRule="auto"/>
        <w:tabs>
          <w:tab w:leader="none" w:pos="12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Every question submitted to a General Meeting shall be decided by a show of hands, but the Chairperson of the General Meeting may determine that a resolution shall be decided by a written ballot. A written ballot may be implemented before the proposed resolution is voted upon or immediately after the declaration by the Chairperson of the results of the vote by a show of hands. If a vote by written ballot is taken after such declaration, the results of the vote by a show of hands shall be of no effect, and the proposed resolution shall be decided by such written ballot.</w:t>
      </w:r>
    </w:p>
    <w:p>
      <w:pPr>
        <w:spacing w:after="0" w:line="45" w:lineRule="exact"/>
        <w:rPr>
          <w:rFonts w:ascii="Arial" w:cs="Arial" w:eastAsia="Arial" w:hAnsi="Arial"/>
          <w:sz w:val="19"/>
          <w:szCs w:val="19"/>
          <w:color w:val="auto"/>
        </w:rPr>
      </w:pPr>
    </w:p>
    <w:p>
      <w:pPr>
        <w:jc w:val="both"/>
        <w:ind w:left="634" w:hanging="9"/>
        <w:spacing w:after="0" w:line="220" w:lineRule="auto"/>
        <w:tabs>
          <w:tab w:leader="none" w:pos="126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 defect in convening or conducting a General Meeting, including a defect resulting from the non-fulfillment of any provision or condition set forth in the Companies Law or these Articles, including with regard to the manner of convening or conducting the General Meeting, shall not disqualify any resolution passed at the General Meeting and shall not affect the discussions or decisions which took place thereat.</w:t>
      </w:r>
    </w:p>
    <w:p>
      <w:pPr>
        <w:spacing w:after="0" w:line="46" w:lineRule="exact"/>
        <w:rPr>
          <w:rFonts w:ascii="Arial" w:cs="Arial" w:eastAsia="Arial" w:hAnsi="Arial"/>
          <w:sz w:val="19"/>
          <w:szCs w:val="19"/>
          <w:color w:val="auto"/>
        </w:rPr>
      </w:pPr>
    </w:p>
    <w:p>
      <w:pPr>
        <w:jc w:val="both"/>
        <w:ind w:left="634" w:hanging="9"/>
        <w:spacing w:after="0" w:line="226" w:lineRule="auto"/>
        <w:tabs>
          <w:tab w:leader="none" w:pos="12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 declaration by the Chairperson of the General Meeting that a resolution has been carried unanimously, or carried by a particular majority, or rejected, and an entry to that effect in the minute book of the Company, shall be prima facie evidence of the fact without proof of the number or proportion of the votes recorded in favor of or against such resolution.</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24"/>
        </w:numPr>
        <w:rPr>
          <w:rFonts w:ascii="Arial" w:cs="Arial" w:eastAsia="Arial" w:hAnsi="Arial"/>
          <w:sz w:val="19"/>
          <w:szCs w:val="19"/>
          <w:color w:val="auto"/>
        </w:rPr>
      </w:pPr>
      <w:r>
        <w:rPr>
          <w:rFonts w:ascii="Arial" w:cs="Arial" w:eastAsia="Arial" w:hAnsi="Arial"/>
          <w:sz w:val="19"/>
          <w:szCs w:val="19"/>
          <w:b w:val="1"/>
          <w:bCs w:val="1"/>
          <w:u w:val="single" w:color="auto"/>
          <w:color w:val="auto"/>
        </w:rPr>
        <w:t>Power to Adjourn</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spacing w:after="0"/>
        <w:rPr>
          <w:rFonts w:ascii="Arial" w:cs="Arial" w:eastAsia="Arial" w:hAnsi="Arial"/>
          <w:sz w:val="19"/>
          <w:szCs w:val="19"/>
          <w:color w:val="auto"/>
        </w:rPr>
      </w:pPr>
      <w:r>
        <w:rPr>
          <w:rFonts w:ascii="Arial" w:cs="Arial" w:eastAsia="Arial" w:hAnsi="Arial"/>
          <w:sz w:val="17"/>
          <w:szCs w:val="17"/>
          <w:color w:val="auto"/>
        </w:rPr>
        <w:t>A General Meeting, the consideration of any matter on its agenda, or the resolution on any matter on its agenda, may be postponed or adjourned, from time to time and from place to place: (i) by the Chairperson of a General Meeting at which a quorum is present (and he shall do so if directed by the General Meeting, with the consent of the holders of a majority of the voting power represented in person or by proxy and voting on the question of adjournment), but no business shall be transacted at any such adjourned meeting except business which might lawfully have been transacted at the meeting as originally called, or a matter on its agenda with respect to which no resolution was adopted at the meeting originally called; or (ii) by the Board of Directors (whether prior to or at a General Meeting).</w:t>
      </w:r>
    </w:p>
    <w:p>
      <w:pPr>
        <w:spacing w:after="0" w:line="40" w:lineRule="exact"/>
        <w:rPr>
          <w:rFonts w:ascii="Arial" w:cs="Arial" w:eastAsia="Arial" w:hAnsi="Arial"/>
          <w:sz w:val="19"/>
          <w:szCs w:val="19"/>
          <w:color w:val="auto"/>
        </w:rPr>
      </w:pPr>
    </w:p>
    <w:p>
      <w:pPr>
        <w:ind w:left="614" w:hanging="614"/>
        <w:spacing w:after="0"/>
        <w:tabs>
          <w:tab w:leader="none" w:pos="614" w:val="left"/>
        </w:tabs>
        <w:numPr>
          <w:ilvl w:val="0"/>
          <w:numId w:val="124"/>
        </w:numPr>
        <w:rPr>
          <w:rFonts w:ascii="Arial" w:cs="Arial" w:eastAsia="Arial" w:hAnsi="Arial"/>
          <w:sz w:val="19"/>
          <w:szCs w:val="19"/>
          <w:color w:val="auto"/>
        </w:rPr>
      </w:pPr>
      <w:r>
        <w:rPr>
          <w:rFonts w:ascii="Arial" w:cs="Arial" w:eastAsia="Arial" w:hAnsi="Arial"/>
          <w:sz w:val="19"/>
          <w:szCs w:val="19"/>
          <w:b w:val="1"/>
          <w:bCs w:val="1"/>
          <w:u w:val="single" w:color="auto"/>
          <w:color w:val="auto"/>
        </w:rPr>
        <w:t>Voting Power</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spacing w:after="0" w:line="238" w:lineRule="auto"/>
        <w:rPr>
          <w:rFonts w:ascii="Arial" w:cs="Arial" w:eastAsia="Arial" w:hAnsi="Arial"/>
          <w:sz w:val="19"/>
          <w:szCs w:val="19"/>
          <w:color w:val="auto"/>
        </w:rPr>
      </w:pPr>
      <w:r>
        <w:rPr>
          <w:rFonts w:ascii="Arial" w:cs="Arial" w:eastAsia="Arial" w:hAnsi="Arial"/>
          <w:sz w:val="18"/>
          <w:szCs w:val="18"/>
          <w:color w:val="auto"/>
        </w:rPr>
        <w:t>Subject to the provisions of Article 33(a) and to any provision hereof, including Article 6, conferring special rights as to voting, or restricting the right to vote, every Shareholder shall have one vote for each share held by the Shareholder of record, on every resolution, without regard to whether the vote thereon is conducted by a show of hands, by written ballot, or by any other means.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0" w:lineRule="exact"/>
        <w:rPr>
          <w:rFonts w:ascii="Arial" w:cs="Arial" w:eastAsia="Arial" w:hAnsi="Arial"/>
          <w:sz w:val="19"/>
          <w:szCs w:val="19"/>
          <w:color w:val="auto"/>
        </w:rPr>
      </w:pPr>
    </w:p>
    <w:p>
      <w:pPr>
        <w:ind w:left="5534" w:hanging="88"/>
        <w:spacing w:after="0"/>
        <w:tabs>
          <w:tab w:leader="none" w:pos="5534" w:val="left"/>
        </w:tabs>
        <w:numPr>
          <w:ilvl w:val="2"/>
          <w:numId w:val="124"/>
        </w:numPr>
        <w:rPr>
          <w:rFonts w:ascii="Arial" w:cs="Arial" w:eastAsia="Arial" w:hAnsi="Arial"/>
          <w:sz w:val="16"/>
          <w:szCs w:val="16"/>
          <w:color w:val="auto"/>
        </w:rPr>
      </w:pPr>
      <w:r>
        <w:rPr>
          <w:rFonts w:ascii="Arial" w:cs="Arial" w:eastAsia="Arial" w:hAnsi="Arial"/>
          <w:sz w:val="16"/>
          <w:szCs w:val="16"/>
          <w:color w:val="auto"/>
        </w:rPr>
        <w:t>16 -</w:t>
      </w:r>
    </w:p>
    <w:p>
      <w:pPr>
        <w:sectPr>
          <w:pgSz w:w="11900" w:h="16838" w:orient="portrait"/>
          <w:cols w:equalWidth="0" w:num="1">
            <w:col w:w="11234"/>
          </w:cols>
          <w:pgMar w:left="326" w:top="1440" w:right="339" w:bottom="1440" w:gutter="0" w:footer="0" w:header="0"/>
        </w:sectPr>
      </w:pPr>
    </w:p>
    <w:bookmarkStart w:id="189" w:name="page190"/>
    <w:bookmarkEnd w:id="189"/>
    <w:p>
      <w:pPr>
        <w:spacing w:after="0" w:line="148" w:lineRule="exact"/>
        <w:rPr>
          <w:sz w:val="20"/>
          <w:szCs w:val="20"/>
          <w:color w:val="auto"/>
        </w:rPr>
      </w:pPr>
    </w:p>
    <w:p>
      <w:pPr>
        <w:ind w:left="620" w:hanging="614"/>
        <w:spacing w:after="0"/>
        <w:tabs>
          <w:tab w:leader="none" w:pos="620" w:val="left"/>
        </w:tabs>
        <w:numPr>
          <w:ilvl w:val="0"/>
          <w:numId w:val="125"/>
        </w:numPr>
        <w:rPr>
          <w:rFonts w:ascii="Arial" w:cs="Arial" w:eastAsia="Arial" w:hAnsi="Arial"/>
          <w:sz w:val="19"/>
          <w:szCs w:val="19"/>
          <w:color w:val="auto"/>
        </w:rPr>
      </w:pPr>
      <w:r>
        <w:rPr>
          <w:rFonts w:ascii="Arial" w:cs="Arial" w:eastAsia="Arial" w:hAnsi="Arial"/>
          <w:sz w:val="19"/>
          <w:szCs w:val="19"/>
          <w:b w:val="1"/>
          <w:bCs w:val="1"/>
          <w:u w:val="single" w:color="auto"/>
          <w:color w:val="auto"/>
        </w:rPr>
        <w:t>Voting Rights.</w:t>
      </w:r>
    </w:p>
    <w:p>
      <w:pPr>
        <w:spacing w:after="0" w:line="79" w:lineRule="exact"/>
        <w:rPr>
          <w:rFonts w:ascii="Arial" w:cs="Arial" w:eastAsia="Arial" w:hAnsi="Arial"/>
          <w:sz w:val="19"/>
          <w:szCs w:val="19"/>
          <w:color w:val="auto"/>
        </w:rPr>
      </w:pPr>
    </w:p>
    <w:p>
      <w:pPr>
        <w:ind w:left="640" w:hanging="9"/>
        <w:spacing w:after="0" w:line="237" w:lineRule="auto"/>
        <w:tabs>
          <w:tab w:leader="none" w:pos="1269" w:val="left"/>
        </w:tabs>
        <w:numPr>
          <w:ilvl w:val="1"/>
          <w:numId w:val="125"/>
        </w:numPr>
        <w:rPr>
          <w:rFonts w:ascii="Arial" w:cs="Arial" w:eastAsia="Arial" w:hAnsi="Arial"/>
          <w:sz w:val="19"/>
          <w:szCs w:val="19"/>
          <w:color w:val="auto"/>
        </w:rPr>
      </w:pPr>
      <w:r>
        <w:rPr>
          <w:rFonts w:ascii="Arial" w:cs="Arial" w:eastAsia="Arial" w:hAnsi="Arial"/>
          <w:sz w:val="19"/>
          <w:szCs w:val="19"/>
          <w:color w:val="auto"/>
        </w:rPr>
        <w:t>No Shareholder shall be entitled to vote at any General Meeting (or be counted as a part of the quorum thereat), unless all calls then payable by him or her in respect of his or her shares in the Company have been paid.</w:t>
      </w:r>
    </w:p>
    <w:p>
      <w:pPr>
        <w:spacing w:after="0" w:line="45" w:lineRule="exact"/>
        <w:rPr>
          <w:rFonts w:ascii="Arial" w:cs="Arial" w:eastAsia="Arial" w:hAnsi="Arial"/>
          <w:sz w:val="19"/>
          <w:szCs w:val="19"/>
          <w:color w:val="auto"/>
        </w:rPr>
      </w:pPr>
    </w:p>
    <w:p>
      <w:pPr>
        <w:jc w:val="both"/>
        <w:ind w:left="640" w:hanging="9"/>
        <w:spacing w:after="0" w:line="217" w:lineRule="auto"/>
        <w:tabs>
          <w:tab w:leader="none" w:pos="126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Shareholder could have exercised if it were an individual. Upon the request of the Chairperson of the General Meeting, written evidence of such authorization (in form acceptable to the Chairperson) shall be delivered to him or her.</w:t>
      </w:r>
    </w:p>
    <w:p>
      <w:pPr>
        <w:spacing w:after="0" w:line="45" w:lineRule="exact"/>
        <w:rPr>
          <w:rFonts w:ascii="Arial" w:cs="Arial" w:eastAsia="Arial" w:hAnsi="Arial"/>
          <w:sz w:val="19"/>
          <w:szCs w:val="19"/>
          <w:color w:val="auto"/>
        </w:rPr>
      </w:pPr>
    </w:p>
    <w:p>
      <w:pPr>
        <w:ind w:left="640" w:hanging="9"/>
        <w:spacing w:after="0" w:line="261" w:lineRule="auto"/>
        <w:tabs>
          <w:tab w:leader="none" w:pos="126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Shareholder entitled to vote may vote either in person or by proxy (who need not be Shareholder of the Company), or, if the Shareholder is a company or other corporate body, by representative authorized pursuant to Article (b) above.</w:t>
      </w:r>
    </w:p>
    <w:p>
      <w:pPr>
        <w:spacing w:after="0" w:line="26" w:lineRule="exact"/>
        <w:rPr>
          <w:rFonts w:ascii="Arial" w:cs="Arial" w:eastAsia="Arial" w:hAnsi="Arial"/>
          <w:sz w:val="18"/>
          <w:szCs w:val="18"/>
          <w:color w:val="auto"/>
        </w:rPr>
      </w:pPr>
    </w:p>
    <w:p>
      <w:pPr>
        <w:jc w:val="both"/>
        <w:ind w:left="640" w:hanging="9"/>
        <w:spacing w:after="0" w:line="226" w:lineRule="auto"/>
        <w:tabs>
          <w:tab w:leader="none" w:pos="126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If two or more persons are registered as joint holders of any share, the vote of the senior who tenders a vote, in person or by proxy, shall be accepted to the exclusion of the vote(s) of the other joint holder(s). For the purpose of this Article 33(d), seniority shall be determined by the order of registration of the joint holders in the Register of Shareholders.</w:t>
      </w:r>
    </w:p>
    <w:p>
      <w:pPr>
        <w:spacing w:after="0" w:line="45" w:lineRule="exact"/>
        <w:rPr>
          <w:rFonts w:ascii="Arial" w:cs="Arial" w:eastAsia="Arial" w:hAnsi="Arial"/>
          <w:sz w:val="19"/>
          <w:szCs w:val="19"/>
          <w:color w:val="auto"/>
        </w:rPr>
      </w:pPr>
    </w:p>
    <w:p>
      <w:pPr>
        <w:jc w:val="both"/>
        <w:ind w:left="640" w:hanging="9"/>
        <w:spacing w:after="0" w:line="220" w:lineRule="auto"/>
        <w:tabs>
          <w:tab w:leader="none" w:pos="1269"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If a Shareholder is a minor, under protection, bankrupt or legally incompetent, or in the case of a corporation, is in receivership or liquidation, it may, subject to all other provisions of these Articles and any documents or records required to be provided under these Articles, vote through his, her or its trustees, receiver, liquidator, natural guardian or another legal guardian, as the case may be, and the persons listed above may vote in person or by proxy.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Proxies</w:t>
      </w:r>
    </w:p>
    <w:p>
      <w:pPr>
        <w:spacing w:after="0" w:line="73" w:lineRule="exact"/>
        <w:rPr>
          <w:sz w:val="20"/>
          <w:szCs w:val="20"/>
          <w:color w:val="auto"/>
        </w:rPr>
      </w:pPr>
    </w:p>
    <w:p>
      <w:pPr>
        <w:ind w:left="620" w:hanging="614"/>
        <w:spacing w:after="0"/>
        <w:tabs>
          <w:tab w:leader="none" w:pos="620" w:val="left"/>
        </w:tabs>
        <w:numPr>
          <w:ilvl w:val="0"/>
          <w:numId w:val="126"/>
        </w:numPr>
        <w:rPr>
          <w:rFonts w:ascii="Arial" w:cs="Arial" w:eastAsia="Arial" w:hAnsi="Arial"/>
          <w:sz w:val="19"/>
          <w:szCs w:val="19"/>
          <w:color w:val="auto"/>
        </w:rPr>
      </w:pPr>
      <w:r>
        <w:rPr>
          <w:rFonts w:ascii="Arial" w:cs="Arial" w:eastAsia="Arial" w:hAnsi="Arial"/>
          <w:sz w:val="19"/>
          <w:szCs w:val="19"/>
          <w:b w:val="1"/>
          <w:bCs w:val="1"/>
          <w:u w:val="single" w:color="auto"/>
          <w:color w:val="auto"/>
        </w:rPr>
        <w:t>Instrument of Appointment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1280" w:hanging="649"/>
        <w:spacing w:after="0"/>
        <w:tabs>
          <w:tab w:leader="none" w:pos="12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 instrument appointing a proxy shall be in writing and shall be substantially in the following form:</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242"/>
        </w:trPr>
        <w:tc>
          <w:tcPr>
            <w:tcW w:w="5040" w:type="dxa"/>
            <w:vAlign w:val="bottom"/>
            <w:gridSpan w:val="2"/>
          </w:tcPr>
          <w:p>
            <w:pPr>
              <w:spacing w:after="0"/>
              <w:rPr>
                <w:sz w:val="20"/>
                <w:szCs w:val="20"/>
                <w:color w:val="auto"/>
              </w:rPr>
            </w:pPr>
            <w:r>
              <w:rPr>
                <w:rFonts w:ascii="Arial" w:cs="Arial" w:eastAsia="Arial" w:hAnsi="Arial"/>
                <w:sz w:val="19"/>
                <w:szCs w:val="19"/>
                <w:color w:val="auto"/>
              </w:rPr>
              <w:t>“I</w:t>
            </w:r>
          </w:p>
        </w:tc>
        <w:tc>
          <w:tcPr>
            <w:tcW w:w="4620" w:type="dxa"/>
            <w:vAlign w:val="bottom"/>
            <w:gridSpan w:val="2"/>
          </w:tcPr>
          <w:p>
            <w:pPr>
              <w:ind w:left="20"/>
              <w:spacing w:after="0"/>
              <w:rPr>
                <w:sz w:val="20"/>
                <w:szCs w:val="20"/>
                <w:color w:val="auto"/>
              </w:rPr>
            </w:pPr>
            <w:r>
              <w:rPr>
                <w:rFonts w:ascii="Arial" w:cs="Arial" w:eastAsia="Arial" w:hAnsi="Arial"/>
                <w:sz w:val="19"/>
                <w:szCs w:val="19"/>
                <w:color w:val="auto"/>
              </w:rPr>
              <w:t>of</w:t>
            </w: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9"/>
                <w:szCs w:val="19"/>
                <w:i w:val="1"/>
                <w:iCs w:val="1"/>
                <w:color w:val="auto"/>
                <w:w w:val="92"/>
              </w:rPr>
              <w:t>(Name of Shareholder)</w:t>
            </w:r>
          </w:p>
        </w:tc>
        <w:tc>
          <w:tcPr>
            <w:tcW w:w="5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9"/>
                <w:szCs w:val="19"/>
                <w:i w:val="1"/>
                <w:iCs w:val="1"/>
                <w:color w:val="auto"/>
                <w:w w:val="91"/>
              </w:rPr>
              <w:t>(Address of Shareholder)</w:t>
            </w:r>
          </w:p>
        </w:tc>
        <w:tc>
          <w:tcPr>
            <w:tcW w:w="0" w:type="dxa"/>
            <w:vAlign w:val="bottom"/>
          </w:tcPr>
          <w:p>
            <w:pPr>
              <w:spacing w:after="0"/>
              <w:rPr>
                <w:sz w:val="1"/>
                <w:szCs w:val="1"/>
                <w:color w:val="auto"/>
              </w:rPr>
            </w:pPr>
          </w:p>
        </w:tc>
      </w:tr>
      <w:tr>
        <w:trPr>
          <w:trHeight w:val="247"/>
        </w:trPr>
        <w:tc>
          <w:tcPr>
            <w:tcW w:w="5040" w:type="dxa"/>
            <w:vAlign w:val="bottom"/>
            <w:gridSpan w:val="2"/>
          </w:tcPr>
          <w:p>
            <w:pPr>
              <w:spacing w:after="0"/>
              <w:rPr>
                <w:sz w:val="20"/>
                <w:szCs w:val="20"/>
                <w:color w:val="auto"/>
              </w:rPr>
            </w:pPr>
            <w:r>
              <w:rPr>
                <w:rFonts w:ascii="Arial" w:cs="Arial" w:eastAsia="Arial" w:hAnsi="Arial"/>
                <w:sz w:val="19"/>
                <w:szCs w:val="19"/>
                <w:color w:val="auto"/>
              </w:rPr>
              <w:t>Being a shareholder of Riskified Ltd. hereby appoints</w:t>
            </w:r>
          </w:p>
        </w:tc>
        <w:tc>
          <w:tcPr>
            <w:tcW w:w="4620" w:type="dxa"/>
            <w:vAlign w:val="bottom"/>
            <w:gridSpan w:val="2"/>
            <w:vMerge w:val="restart"/>
          </w:tcPr>
          <w:p>
            <w:pPr>
              <w:ind w:left="20"/>
              <w:spacing w:after="0"/>
              <w:rPr>
                <w:sz w:val="20"/>
                <w:szCs w:val="20"/>
                <w:color w:val="auto"/>
              </w:rPr>
            </w:pPr>
            <w:r>
              <w:rPr>
                <w:rFonts w:ascii="Arial" w:cs="Arial" w:eastAsia="Arial" w:hAnsi="Arial"/>
                <w:sz w:val="19"/>
                <w:szCs w:val="19"/>
                <w:color w:val="auto"/>
              </w:rPr>
              <w:t>of</w:t>
            </w:r>
          </w:p>
        </w:tc>
        <w:tc>
          <w:tcPr>
            <w:tcW w:w="0" w:type="dxa"/>
            <w:vAlign w:val="bottom"/>
          </w:tcPr>
          <w:p>
            <w:pPr>
              <w:spacing w:after="0"/>
              <w:rPr>
                <w:sz w:val="1"/>
                <w:szCs w:val="1"/>
                <w:color w:val="auto"/>
              </w:rPr>
            </w:pPr>
          </w:p>
        </w:tc>
      </w:tr>
      <w:tr>
        <w:trPr>
          <w:trHeight w:val="233"/>
        </w:trPr>
        <w:tc>
          <w:tcPr>
            <w:tcW w:w="14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9"/>
                <w:szCs w:val="19"/>
                <w:i w:val="1"/>
                <w:iCs w:val="1"/>
                <w:color w:val="auto"/>
                <w:w w:val="93"/>
              </w:rPr>
              <w:t>(Name of Proxy)</w:t>
            </w:r>
          </w:p>
        </w:tc>
        <w:tc>
          <w:tcPr>
            <w:tcW w:w="52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9"/>
                <w:szCs w:val="19"/>
                <w:i w:val="1"/>
                <w:iCs w:val="1"/>
                <w:color w:val="auto"/>
                <w:w w:val="92"/>
              </w:rPr>
              <w:t>(Address of Proxy)</w:t>
            </w:r>
          </w:p>
        </w:tc>
        <w:tc>
          <w:tcPr>
            <w:tcW w:w="0" w:type="dxa"/>
            <w:vAlign w:val="bottom"/>
          </w:tcPr>
          <w:p>
            <w:pPr>
              <w:spacing w:after="0"/>
              <w:rPr>
                <w:sz w:val="1"/>
                <w:szCs w:val="1"/>
                <w:color w:val="auto"/>
              </w:rPr>
            </w:pPr>
          </w:p>
        </w:tc>
      </w:tr>
    </w:tbl>
    <w:p>
      <w:pPr>
        <w:ind w:left="760"/>
        <w:spacing w:after="0" w:line="208" w:lineRule="auto"/>
        <w:rPr>
          <w:sz w:val="20"/>
          <w:szCs w:val="20"/>
          <w:color w:val="auto"/>
        </w:rPr>
      </w:pPr>
      <w:r>
        <w:rPr>
          <w:rFonts w:ascii="Arial" w:cs="Arial" w:eastAsia="Arial" w:hAnsi="Arial"/>
          <w:sz w:val="19"/>
          <w:szCs w:val="19"/>
          <w:color w:val="auto"/>
        </w:rPr>
        <w:t>as my proxy to vote for me and on my behalf at the General Meeting of the Company to be held on the ___ day of _______,</w:t>
      </w:r>
    </w:p>
    <w:p>
      <w:pPr>
        <w:ind w:left="760"/>
        <w:spacing w:after="0"/>
        <w:rPr>
          <w:sz w:val="20"/>
          <w:szCs w:val="20"/>
          <w:color w:val="auto"/>
        </w:rPr>
      </w:pPr>
      <w:r>
        <w:rPr>
          <w:rFonts w:ascii="Arial" w:cs="Arial" w:eastAsia="Arial" w:hAnsi="Arial"/>
          <w:sz w:val="19"/>
          <w:szCs w:val="19"/>
          <w:color w:val="auto"/>
        </w:rPr>
        <w:t>_______ and at any adjournment(s) thereof.</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Signed this ____ day of ___________, ______.</w:t>
      </w:r>
    </w:p>
    <w:p>
      <w:pPr>
        <w:spacing w:after="0" w:line="232" w:lineRule="exact"/>
        <w:rPr>
          <w:sz w:val="20"/>
          <w:szCs w:val="20"/>
          <w:color w:val="auto"/>
        </w:rPr>
      </w:pPr>
    </w:p>
    <w:p>
      <w:pPr>
        <w:ind w:left="8420"/>
        <w:spacing w:after="0"/>
        <w:rPr>
          <w:sz w:val="20"/>
          <w:szCs w:val="20"/>
          <w:color w:val="auto"/>
        </w:rPr>
      </w:pPr>
      <w:r>
        <w:rPr>
          <w:rFonts w:ascii="Arial" w:cs="Arial" w:eastAsia="Arial" w:hAnsi="Arial"/>
          <w:sz w:val="19"/>
          <w:szCs w:val="19"/>
          <w:color w:val="auto"/>
        </w:rPr>
        <w:t>(Signature of Appointor)</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or in any usual or common form or in such other form as may be approved by the Board of Directors. Such proxy shall be duly signed by the appointor of such person's duly authorized attorney, or, if such appointor is company or other corporate body, in the manner in which it signs documents which binds it together with a certificate of an attorney with regard to the authority of the signatories.</w:t>
      </w:r>
    </w:p>
    <w:p>
      <w:pPr>
        <w:spacing w:after="0" w:line="47" w:lineRule="exact"/>
        <w:rPr>
          <w:sz w:val="20"/>
          <w:szCs w:val="20"/>
          <w:color w:val="auto"/>
        </w:rPr>
      </w:pPr>
    </w:p>
    <w:p>
      <w:pPr>
        <w:jc w:val="both"/>
        <w:ind w:left="640" w:hanging="9"/>
        <w:spacing w:after="0" w:line="226" w:lineRule="auto"/>
        <w:tabs>
          <w:tab w:leader="none" w:pos="126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the Companies Law, the original instrument appointing a proxy or a copy thereof certified by an attorney (and the power of attorney or other authority, if any, under which such instrument has been signed) shall be delivered to the Company (at its Office, at its principal place of business, or at the offices of its registrar or transfer agent, or at such place as notice of the meeting may specify) not less than forty eight (48) hours (or such shorter period as the notice shall specify) before the time fixed for such meeting. Notwithstanding the above, the Chairperson shall have the right to waive the time requirement provided above with respect to all instruments of proxies and to accept instruments of proxy until the beginning of 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5540" w:hanging="88"/>
        <w:spacing w:after="0"/>
        <w:tabs>
          <w:tab w:leader="none" w:pos="55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17 -</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54" w:lineRule="exact"/>
        <w:rPr>
          <w:sz w:val="20"/>
          <w:szCs w:val="20"/>
          <w:color w:val="auto"/>
        </w:rPr>
      </w:pPr>
    </w:p>
    <w:p>
      <w:pPr>
        <w:ind w:left="640"/>
        <w:spacing w:after="0" w:line="237" w:lineRule="auto"/>
        <w:rPr>
          <w:sz w:val="20"/>
          <w:szCs w:val="20"/>
          <w:color w:val="auto"/>
        </w:rPr>
      </w:pPr>
      <w:r>
        <w:rPr>
          <w:rFonts w:ascii="Arial" w:cs="Arial" w:eastAsia="Arial" w:hAnsi="Arial"/>
          <w:sz w:val="19"/>
          <w:szCs w:val="19"/>
          <w:color w:val="auto"/>
        </w:rPr>
        <w:t>General Meeting. A document appointing a proxy shall be valid for every adjourned meeting of the General Meeting to which the document relates.</w:t>
      </w:r>
    </w:p>
    <w:p>
      <w:pPr>
        <w:spacing w:after="0" w:line="39" w:lineRule="exact"/>
        <w:rPr>
          <w:sz w:val="20"/>
          <w:szCs w:val="20"/>
          <w:color w:val="auto"/>
        </w:rPr>
      </w:pPr>
    </w:p>
    <w:p>
      <w:pPr>
        <w:ind w:left="620" w:hanging="614"/>
        <w:spacing w:after="0"/>
        <w:tabs>
          <w:tab w:leader="none" w:pos="620" w:val="left"/>
        </w:tabs>
        <w:numPr>
          <w:ilvl w:val="0"/>
          <w:numId w:val="128"/>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Death of Appointor of Transfer of Shares and or Revocation of Appointment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0" w:lineRule="auto"/>
        <w:tabs>
          <w:tab w:leader="none" w:pos="126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 vote cast in accordance with an instrument appointing a proxy shall be valid notwithstanding the prior death or bankruptcy of the appointing Shareholder (or of his or her attorney-in-fact, if any, who signed such instrument), or the transfer of the share in respect of which the vote is cast, unless written notice of such matters shall have been received by the Company or by the Chairperson of such meeting prior to such vote being cast.</w:t>
      </w:r>
    </w:p>
    <w:p>
      <w:pPr>
        <w:spacing w:after="0" w:line="46" w:lineRule="exact"/>
        <w:rPr>
          <w:rFonts w:ascii="Arial" w:cs="Arial" w:eastAsia="Arial" w:hAnsi="Arial"/>
          <w:sz w:val="19"/>
          <w:szCs w:val="19"/>
          <w:color w:val="auto"/>
        </w:rPr>
      </w:pPr>
    </w:p>
    <w:p>
      <w:pPr>
        <w:jc w:val="both"/>
        <w:ind w:left="640" w:hanging="9"/>
        <w:spacing w:after="0" w:line="221" w:lineRule="auto"/>
        <w:tabs>
          <w:tab w:leader="none" w:pos="126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Subject to the Companies Law, an instrument appointing a proxy shall be deemed revoked (i) upon receipt by the Company or the Chairperson,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34(b) for such new appointment), provided such notice of cancellation or instrument appointing a different proxy were so received at the place and within the time for delivery of the instrument revoked thereby as referred to in Article 34(b) hereof, or (ii) if the appointing Shareholder is present in person at the meeting for which such instrument of proxy was delivered, upon receipt by the Chairperson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35(b) at or prior to the time such vote was cast.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Board of Directors</w:t>
      </w:r>
    </w:p>
    <w:p>
      <w:pPr>
        <w:spacing w:after="0" w:line="73" w:lineRule="exact"/>
        <w:rPr>
          <w:sz w:val="20"/>
          <w:szCs w:val="20"/>
          <w:color w:val="auto"/>
        </w:rPr>
      </w:pPr>
    </w:p>
    <w:p>
      <w:pPr>
        <w:ind w:left="620" w:hanging="614"/>
        <w:spacing w:after="0"/>
        <w:tabs>
          <w:tab w:leader="none" w:pos="620" w:val="left"/>
        </w:tabs>
        <w:numPr>
          <w:ilvl w:val="0"/>
          <w:numId w:val="129"/>
        </w:numPr>
        <w:rPr>
          <w:rFonts w:ascii="Arial" w:cs="Arial" w:eastAsia="Arial" w:hAnsi="Arial"/>
          <w:sz w:val="19"/>
          <w:szCs w:val="19"/>
          <w:color w:val="auto"/>
        </w:rPr>
      </w:pPr>
      <w:r>
        <w:rPr>
          <w:rFonts w:ascii="Arial" w:cs="Arial" w:eastAsia="Arial" w:hAnsi="Arial"/>
          <w:sz w:val="19"/>
          <w:szCs w:val="19"/>
          <w:b w:val="1"/>
          <w:bCs w:val="1"/>
          <w:u w:val="single" w:color="auto"/>
          <w:color w:val="auto"/>
        </w:rPr>
        <w:t>Powers of the Board of Directors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6" w:lineRule="auto"/>
        <w:tabs>
          <w:tab w:leader="none" w:pos="126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Board of Directors may exercise all such powers and do all such acts and things as the Board of Directors is authorized by law or as the Company is authorized to exercise and do and are not hereby or by law required to be exercised or done by the General Meeting. The authority conferred on the Board of Directors by this Article 36 shall be subject to the provisions of the Companies Law, these Articles and any regulation or resolution consistent with these Articles adopted from time to time at a General Meeting, provided, however, that no such regulation or resolution shall invalidate any prior act done by or pursuant to a decision of the Board of Directors which would have been valid if such regulation or resolution had not been adopted.</w:t>
      </w:r>
    </w:p>
    <w:p>
      <w:pPr>
        <w:spacing w:after="0" w:line="49" w:lineRule="exact"/>
        <w:rPr>
          <w:rFonts w:ascii="Arial" w:cs="Arial" w:eastAsia="Arial" w:hAnsi="Arial"/>
          <w:sz w:val="18"/>
          <w:szCs w:val="18"/>
          <w:color w:val="auto"/>
        </w:rPr>
      </w:pPr>
    </w:p>
    <w:p>
      <w:pPr>
        <w:jc w:val="both"/>
        <w:ind w:left="640" w:hanging="9"/>
        <w:spacing w:after="0" w:line="213" w:lineRule="auto"/>
        <w:tabs>
          <w:tab w:leader="none" w:pos="1266" w:val="left"/>
        </w:tabs>
        <w:numPr>
          <w:ilvl w:val="1"/>
          <w:numId w:val="129"/>
        </w:numPr>
        <w:rPr>
          <w:rFonts w:ascii="Arial" w:cs="Arial" w:eastAsia="Arial" w:hAnsi="Arial"/>
          <w:sz w:val="19"/>
          <w:szCs w:val="19"/>
          <w:color w:val="auto"/>
        </w:rPr>
      </w:pPr>
      <w:r>
        <w:rPr>
          <w:rFonts w:ascii="Arial" w:cs="Arial" w:eastAsia="Arial" w:hAnsi="Arial"/>
          <w:sz w:val="19"/>
          <w:szCs w:val="19"/>
          <w:color w:val="auto"/>
        </w:rPr>
        <w:t>Without limiting the generality of the foregoing, the Board of Directors may, from time to time, set aside any amount(s) out of the profits of the Company as a reserve or reserves for any purpose(s) which the Board of Directors,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41" w:lineRule="exact"/>
        <w:rPr>
          <w:rFonts w:ascii="Arial" w:cs="Arial" w:eastAsia="Arial" w:hAnsi="Arial"/>
          <w:sz w:val="19"/>
          <w:szCs w:val="19"/>
          <w:color w:val="auto"/>
        </w:rPr>
      </w:pPr>
    </w:p>
    <w:p>
      <w:pPr>
        <w:ind w:left="620" w:hanging="614"/>
        <w:spacing w:after="0"/>
        <w:tabs>
          <w:tab w:leader="none" w:pos="620" w:val="left"/>
        </w:tabs>
        <w:numPr>
          <w:ilvl w:val="0"/>
          <w:numId w:val="129"/>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Exercise of Powers of the Board of Directors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hanging="9"/>
        <w:spacing w:after="0" w:line="237" w:lineRule="auto"/>
        <w:tabs>
          <w:tab w:leader="none" w:pos="1269" w:val="left"/>
        </w:tabs>
        <w:numPr>
          <w:ilvl w:val="1"/>
          <w:numId w:val="129"/>
        </w:numPr>
        <w:rPr>
          <w:rFonts w:ascii="Arial" w:cs="Arial" w:eastAsia="Arial" w:hAnsi="Arial"/>
          <w:sz w:val="19"/>
          <w:szCs w:val="19"/>
          <w:color w:val="auto"/>
        </w:rPr>
      </w:pPr>
      <w:r>
        <w:rPr>
          <w:rFonts w:ascii="Arial" w:cs="Arial" w:eastAsia="Arial" w:hAnsi="Arial"/>
          <w:sz w:val="19"/>
          <w:szCs w:val="19"/>
          <w:color w:val="auto"/>
        </w:rPr>
        <w:t>A meeting of the Board of Directors at which a quorum is present in accordance with Article 46 shall be competent to exercise all the authorities, powers and discretion vested in or exercisable by the Board of Directors.</w:t>
      </w:r>
    </w:p>
    <w:p>
      <w:pPr>
        <w:spacing w:after="0" w:line="45" w:lineRule="exact"/>
        <w:rPr>
          <w:rFonts w:ascii="Arial" w:cs="Arial" w:eastAsia="Arial" w:hAnsi="Arial"/>
          <w:sz w:val="19"/>
          <w:szCs w:val="19"/>
          <w:color w:val="auto"/>
        </w:rPr>
      </w:pPr>
    </w:p>
    <w:p>
      <w:pPr>
        <w:ind w:left="640" w:hanging="9"/>
        <w:spacing w:after="0" w:line="237" w:lineRule="auto"/>
        <w:tabs>
          <w:tab w:leader="none" w:pos="1266" w:val="left"/>
        </w:tabs>
        <w:numPr>
          <w:ilvl w:val="1"/>
          <w:numId w:val="129"/>
        </w:numPr>
        <w:rPr>
          <w:rFonts w:ascii="Arial" w:cs="Arial" w:eastAsia="Arial" w:hAnsi="Arial"/>
          <w:sz w:val="19"/>
          <w:szCs w:val="19"/>
          <w:color w:val="auto"/>
        </w:rPr>
      </w:pPr>
      <w:r>
        <w:rPr>
          <w:rFonts w:ascii="Arial" w:cs="Arial" w:eastAsia="Arial" w:hAnsi="Arial"/>
          <w:sz w:val="19"/>
          <w:szCs w:val="19"/>
          <w:color w:val="auto"/>
        </w:rPr>
        <w:t>A resolution proposed at any meeting of the Board of Directors shall be deemed adopted if approved by a majority of the Directors present, entitled to vote and voting thereon when such resolution is put to a vote.</w:t>
      </w:r>
    </w:p>
    <w:p>
      <w:pPr>
        <w:spacing w:after="0" w:line="45" w:lineRule="exact"/>
        <w:rPr>
          <w:rFonts w:ascii="Arial" w:cs="Arial" w:eastAsia="Arial" w:hAnsi="Arial"/>
          <w:sz w:val="19"/>
          <w:szCs w:val="19"/>
          <w:color w:val="auto"/>
        </w:rPr>
      </w:pPr>
    </w:p>
    <w:p>
      <w:pPr>
        <w:jc w:val="both"/>
        <w:ind w:left="640" w:hanging="9"/>
        <w:spacing w:after="0" w:line="226" w:lineRule="auto"/>
        <w:tabs>
          <w:tab w:leader="none" w:pos="1269"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Board of Directors may adopt resolutions, without convening a meeting of the Board of Directors, in writing or in any other manner permitted by the Companies Law. Any resolutions passed by way of written consent in lieu of a meeting shall be filed with the applicable minutes book of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8" w:lineRule="exact"/>
        <w:rPr>
          <w:rFonts w:ascii="Arial" w:cs="Arial" w:eastAsia="Arial" w:hAnsi="Arial"/>
          <w:sz w:val="19"/>
          <w:szCs w:val="19"/>
          <w:color w:val="auto"/>
        </w:rPr>
      </w:pPr>
    </w:p>
    <w:p>
      <w:pPr>
        <w:ind w:left="5540" w:hanging="88"/>
        <w:spacing w:after="0"/>
        <w:tabs>
          <w:tab w:leader="none" w:pos="5540" w:val="left"/>
        </w:tabs>
        <w:numPr>
          <w:ilvl w:val="2"/>
          <w:numId w:val="129"/>
        </w:numPr>
        <w:rPr>
          <w:rFonts w:ascii="Arial" w:cs="Arial" w:eastAsia="Arial" w:hAnsi="Arial"/>
          <w:sz w:val="16"/>
          <w:szCs w:val="16"/>
          <w:color w:val="auto"/>
        </w:rPr>
      </w:pPr>
      <w:r>
        <w:rPr>
          <w:rFonts w:ascii="Arial" w:cs="Arial" w:eastAsia="Arial" w:hAnsi="Arial"/>
          <w:sz w:val="16"/>
          <w:szCs w:val="16"/>
          <w:color w:val="auto"/>
        </w:rPr>
        <w:t>18 -</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8" w:lineRule="exact"/>
        <w:rPr>
          <w:sz w:val="20"/>
          <w:szCs w:val="20"/>
          <w:color w:val="auto"/>
        </w:rPr>
      </w:pPr>
    </w:p>
    <w:p>
      <w:pPr>
        <w:ind w:left="614" w:hanging="614"/>
        <w:spacing w:after="0"/>
        <w:tabs>
          <w:tab w:leader="none" w:pos="614"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Delegation of Powers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21" w:lineRule="auto"/>
        <w:tabs>
          <w:tab w:leader="none" w:pos="126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Board of Directors may, subject to the provisions of the Companies Law, delegate any or all of its powers to committees (in these Articles referred to as a “</w:t>
      </w:r>
      <w:r>
        <w:rPr>
          <w:rFonts w:ascii="Arial" w:cs="Arial" w:eastAsia="Arial" w:hAnsi="Arial"/>
          <w:sz w:val="18"/>
          <w:szCs w:val="18"/>
          <w:u w:val="single" w:color="auto"/>
          <w:color w:val="auto"/>
        </w:rPr>
        <w:t>Committee of the 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Committee</w:t>
      </w:r>
      <w:r>
        <w:rPr>
          <w:rFonts w:ascii="Arial" w:cs="Arial" w:eastAsia="Arial" w:hAnsi="Arial"/>
          <w:sz w:val="18"/>
          <w:szCs w:val="18"/>
          <w:color w:val="auto"/>
        </w:rPr>
        <w:t>”), each consisting of one or more persons (who may or may not be Directors), and it may from time to time revoke such delegation or alter the composition of any such Committee. Any Committee so formed shall, in the exercise of the powers so delegated, conform to any regulations imposed on it by the Board of Directors, subject to applicable law. No regulation imposed by the Board of Directors on any Committee and no resolution of the Board of Directors shall invalidate any prior act done or pursuant to a resolution by the Committee which would have been valid if such regulation or resolution of the Board of Directors had not been adopted. The meetings and proceedings of any such Committee of the Board of Directors shall, mutatis mutandis, be governed by the provisions herein contained for regulating the meetings of the Board of Directors, to the extent not superseded by any regulations adopted by the Board of Directors. Unless otherwise expressly prohibited by the Board of Directors, in delegating powers to a Committee of the Board of Directors, such Committee shall be empowered to further delegate such powers.</w:t>
      </w:r>
    </w:p>
    <w:p>
      <w:pPr>
        <w:spacing w:after="0" w:line="49" w:lineRule="exact"/>
        <w:rPr>
          <w:rFonts w:ascii="Arial" w:cs="Arial" w:eastAsia="Arial" w:hAnsi="Arial"/>
          <w:sz w:val="18"/>
          <w:szCs w:val="18"/>
          <w:color w:val="auto"/>
        </w:rPr>
      </w:pPr>
    </w:p>
    <w:p>
      <w:pPr>
        <w:jc w:val="both"/>
        <w:ind w:left="634" w:hanging="9"/>
        <w:spacing w:after="0" w:line="220" w:lineRule="auto"/>
        <w:tabs>
          <w:tab w:leader="none" w:pos="126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The Board of Directors may from time to time appoint a Secretary to the Company, as well as Officers, agents, employees and independent contractors, as the Board of Directors deems fit, and may terminate the service of any such person. The Board of Directors may, subject to the provisions of the Companies Law, determine the powers and duties, as well as the salaries and compensation, of all such persons.</w:t>
      </w:r>
    </w:p>
    <w:p>
      <w:pPr>
        <w:spacing w:after="0" w:line="46" w:lineRule="exact"/>
        <w:rPr>
          <w:rFonts w:ascii="Arial" w:cs="Arial" w:eastAsia="Arial" w:hAnsi="Arial"/>
          <w:sz w:val="19"/>
          <w:szCs w:val="19"/>
          <w:color w:val="auto"/>
        </w:rPr>
      </w:pPr>
    </w:p>
    <w:p>
      <w:pPr>
        <w:jc w:val="both"/>
        <w:ind w:left="634" w:hanging="9"/>
        <w:spacing w:after="0" w:line="243" w:lineRule="auto"/>
        <w:tabs>
          <w:tab w:leader="none" w:pos="126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Board of Directors may from time to time, by power of attorney or otherwise, appoint any person, company, firm or body of persons to be the attorney or attorneys of the Company at law or in fact for such purposes(s)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deems fit, and may also authorize any such attorney to delegate all or any of the powers, authorities and discretions vested in him or her.</w:t>
      </w:r>
    </w:p>
    <w:p>
      <w:pPr>
        <w:spacing w:after="0" w:line="37" w:lineRule="exact"/>
        <w:rPr>
          <w:rFonts w:ascii="Arial" w:cs="Arial" w:eastAsia="Arial" w:hAnsi="Arial"/>
          <w:sz w:val="17"/>
          <w:szCs w:val="17"/>
          <w:color w:val="auto"/>
        </w:rPr>
      </w:pPr>
    </w:p>
    <w:p>
      <w:pPr>
        <w:ind w:left="614" w:hanging="614"/>
        <w:spacing w:after="0"/>
        <w:tabs>
          <w:tab w:leader="none" w:pos="614"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Number of Directors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34" w:hanging="9"/>
        <w:spacing w:after="0" w:line="237" w:lineRule="auto"/>
        <w:tabs>
          <w:tab w:leader="none" w:pos="1263"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The Board of Directors shall consist of such number of Directors (not less than three (3) nor more than eleven (11), including the External Directors, if any were elected) as may be fixed from time to time by resolution of the Board of Directors.</w:t>
      </w:r>
    </w:p>
    <w:p>
      <w:pPr>
        <w:spacing w:after="0" w:line="45" w:lineRule="exact"/>
        <w:rPr>
          <w:rFonts w:ascii="Arial" w:cs="Arial" w:eastAsia="Arial" w:hAnsi="Arial"/>
          <w:sz w:val="19"/>
          <w:szCs w:val="19"/>
          <w:color w:val="auto"/>
        </w:rPr>
      </w:pPr>
    </w:p>
    <w:p>
      <w:pPr>
        <w:ind w:left="634" w:hanging="9"/>
        <w:spacing w:after="0" w:line="261" w:lineRule="auto"/>
        <w:tabs>
          <w:tab w:leader="none" w:pos="12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39 may only be amended or replaced by a resolution adopted at a General Meeting by a majority of at least sixty-five percent (65%) of the total voting power of the Company’s shareholders.</w:t>
      </w:r>
    </w:p>
    <w:p>
      <w:pPr>
        <w:spacing w:after="0" w:line="20" w:lineRule="exact"/>
        <w:rPr>
          <w:rFonts w:ascii="Arial" w:cs="Arial" w:eastAsia="Arial" w:hAnsi="Arial"/>
          <w:sz w:val="18"/>
          <w:szCs w:val="18"/>
          <w:color w:val="auto"/>
        </w:rPr>
      </w:pPr>
    </w:p>
    <w:p>
      <w:pPr>
        <w:ind w:left="614" w:hanging="614"/>
        <w:spacing w:after="0"/>
        <w:tabs>
          <w:tab w:leader="none" w:pos="614"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Election and Removal of Directors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hanging="9"/>
        <w:spacing w:after="0" w:line="220" w:lineRule="auto"/>
        <w:tabs>
          <w:tab w:leader="none" w:pos="1263"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The Directors, excluding the External Directors, if any were elected, shall be classified, with respect to the term for which they each severally hold office, into three classes, as nearly equal in number as practicable, hereby designated as Class I, Class II and Class III (each, a “</w:t>
      </w:r>
      <w:r>
        <w:rPr>
          <w:rFonts w:ascii="Arial" w:cs="Arial" w:eastAsia="Arial" w:hAnsi="Arial"/>
          <w:sz w:val="19"/>
          <w:szCs w:val="19"/>
          <w:u w:val="single" w:color="auto"/>
          <w:color w:val="auto"/>
        </w:rPr>
        <w:t>Class</w:t>
      </w:r>
      <w:r>
        <w:rPr>
          <w:rFonts w:ascii="Arial" w:cs="Arial" w:eastAsia="Arial" w:hAnsi="Arial"/>
          <w:sz w:val="19"/>
          <w:szCs w:val="19"/>
          <w:color w:val="auto"/>
        </w:rPr>
        <w:t>”). The Board of Directors may assign members of the Board of Directors already in office to such classes at the time such classification becomes effective.</w:t>
      </w:r>
    </w:p>
    <w:p>
      <w:pPr>
        <w:spacing w:after="0" w:line="46" w:lineRule="exact"/>
        <w:rPr>
          <w:rFonts w:ascii="Arial" w:cs="Arial" w:eastAsia="Arial" w:hAnsi="Arial"/>
          <w:sz w:val="19"/>
          <w:szCs w:val="19"/>
          <w:color w:val="auto"/>
        </w:rPr>
      </w:pPr>
    </w:p>
    <w:p>
      <w:pPr>
        <w:ind w:left="1274" w:hanging="3"/>
        <w:spacing w:after="0" w:line="237" w:lineRule="auto"/>
        <w:tabs>
          <w:tab w:leader="none" w:pos="1907" w:val="left"/>
        </w:tabs>
        <w:numPr>
          <w:ilvl w:val="3"/>
          <w:numId w:val="130"/>
        </w:numPr>
        <w:rPr>
          <w:rFonts w:ascii="Arial" w:cs="Arial" w:eastAsia="Arial" w:hAnsi="Arial"/>
          <w:sz w:val="19"/>
          <w:szCs w:val="19"/>
          <w:color w:val="auto"/>
        </w:rPr>
      </w:pPr>
      <w:r>
        <w:rPr>
          <w:rFonts w:ascii="Arial" w:cs="Arial" w:eastAsia="Arial" w:hAnsi="Arial"/>
          <w:sz w:val="19"/>
          <w:szCs w:val="19"/>
          <w:color w:val="auto"/>
        </w:rPr>
        <w:t>The term of office of the initial Class I directors shall expire at the Annual General Meeting to be held in 2022 and when their successors are elected and qualified,</w:t>
      </w:r>
    </w:p>
    <w:p>
      <w:pPr>
        <w:spacing w:after="0" w:line="45" w:lineRule="exact"/>
        <w:rPr>
          <w:rFonts w:ascii="Arial" w:cs="Arial" w:eastAsia="Arial" w:hAnsi="Arial"/>
          <w:sz w:val="19"/>
          <w:szCs w:val="19"/>
          <w:color w:val="auto"/>
        </w:rPr>
      </w:pPr>
    </w:p>
    <w:p>
      <w:pPr>
        <w:ind w:left="1274" w:hanging="3"/>
        <w:spacing w:after="0" w:line="237" w:lineRule="auto"/>
        <w:tabs>
          <w:tab w:leader="none" w:pos="1908" w:val="left"/>
        </w:tabs>
        <w:numPr>
          <w:ilvl w:val="3"/>
          <w:numId w:val="130"/>
        </w:numPr>
        <w:rPr>
          <w:rFonts w:ascii="Arial" w:cs="Arial" w:eastAsia="Arial" w:hAnsi="Arial"/>
          <w:sz w:val="19"/>
          <w:szCs w:val="19"/>
          <w:color w:val="auto"/>
        </w:rPr>
      </w:pPr>
      <w:r>
        <w:rPr>
          <w:rFonts w:ascii="Arial" w:cs="Arial" w:eastAsia="Arial" w:hAnsi="Arial"/>
          <w:sz w:val="19"/>
          <w:szCs w:val="19"/>
          <w:color w:val="auto"/>
        </w:rPr>
        <w:t>The term of office of the initial Class II directors shall expire at the first Annual General Meeting following the Annual General Meeting referred to in clause (i) above and when their successors are elected and qualified, and</w:t>
      </w:r>
    </w:p>
    <w:p>
      <w:pPr>
        <w:spacing w:after="0" w:line="45" w:lineRule="exact"/>
        <w:rPr>
          <w:rFonts w:ascii="Arial" w:cs="Arial" w:eastAsia="Arial" w:hAnsi="Arial"/>
          <w:sz w:val="19"/>
          <w:szCs w:val="19"/>
          <w:color w:val="auto"/>
        </w:rPr>
      </w:pPr>
    </w:p>
    <w:p>
      <w:pPr>
        <w:ind w:left="1274" w:hanging="3"/>
        <w:spacing w:after="0" w:line="237" w:lineRule="auto"/>
        <w:tabs>
          <w:tab w:leader="none" w:pos="1909" w:val="left"/>
        </w:tabs>
        <w:numPr>
          <w:ilvl w:val="3"/>
          <w:numId w:val="130"/>
        </w:numPr>
        <w:rPr>
          <w:rFonts w:ascii="Arial" w:cs="Arial" w:eastAsia="Arial" w:hAnsi="Arial"/>
          <w:sz w:val="19"/>
          <w:szCs w:val="19"/>
          <w:color w:val="auto"/>
        </w:rPr>
      </w:pPr>
      <w:r>
        <w:rPr>
          <w:rFonts w:ascii="Arial" w:cs="Arial" w:eastAsia="Arial" w:hAnsi="Arial"/>
          <w:sz w:val="19"/>
          <w:szCs w:val="19"/>
          <w:color w:val="auto"/>
        </w:rPr>
        <w:t>The term of office of the initial Class III directors shall expire at the first Annual General Meeting following the Annual General Meeting referred to in clause (ii) above and when their successors are elected and qualified,</w:t>
      </w:r>
    </w:p>
    <w:p>
      <w:pPr>
        <w:spacing w:after="0" w:line="45" w:lineRule="exact"/>
        <w:rPr>
          <w:rFonts w:ascii="Arial" w:cs="Arial" w:eastAsia="Arial" w:hAnsi="Arial"/>
          <w:sz w:val="19"/>
          <w:szCs w:val="19"/>
          <w:color w:val="auto"/>
        </w:rPr>
      </w:pPr>
    </w:p>
    <w:p>
      <w:pPr>
        <w:jc w:val="both"/>
        <w:ind w:left="634" w:hanging="9"/>
        <w:spacing w:after="0" w:line="220" w:lineRule="auto"/>
        <w:tabs>
          <w:tab w:leader="none" w:pos="126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At each Annual General Meeting, commencing with the Annual General Meeting to be held in 2022, each Nominee or Alternate Nominee (each as defined below) elected to replace the Directors of a Class whose term shall have expired at such Annual General Meeting shall be elected to hold office until the third Annual General Meeting next succeeding his or her election and until his or her respective successor shall have been elected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0" w:lineRule="exact"/>
        <w:rPr>
          <w:rFonts w:ascii="Arial" w:cs="Arial" w:eastAsia="Arial" w:hAnsi="Arial"/>
          <w:sz w:val="19"/>
          <w:szCs w:val="19"/>
          <w:color w:val="auto"/>
        </w:rPr>
      </w:pPr>
    </w:p>
    <w:p>
      <w:pPr>
        <w:ind w:left="5534" w:hanging="88"/>
        <w:spacing w:after="0"/>
        <w:tabs>
          <w:tab w:leader="none" w:pos="5534" w:val="left"/>
        </w:tabs>
        <w:numPr>
          <w:ilvl w:val="4"/>
          <w:numId w:val="130"/>
        </w:numPr>
        <w:rPr>
          <w:rFonts w:ascii="Arial" w:cs="Arial" w:eastAsia="Arial" w:hAnsi="Arial"/>
          <w:sz w:val="16"/>
          <w:szCs w:val="16"/>
          <w:color w:val="auto"/>
        </w:rPr>
      </w:pPr>
      <w:r>
        <w:rPr>
          <w:rFonts w:ascii="Arial" w:cs="Arial" w:eastAsia="Arial" w:hAnsi="Arial"/>
          <w:sz w:val="16"/>
          <w:szCs w:val="16"/>
          <w:color w:val="auto"/>
        </w:rPr>
        <w:t>19 -</w:t>
      </w:r>
    </w:p>
    <w:p>
      <w:pPr>
        <w:sectPr>
          <w:pgSz w:w="11900" w:h="16838" w:orient="portrait"/>
          <w:cols w:equalWidth="0" w:num="1">
            <w:col w:w="11234"/>
          </w:cols>
          <w:pgMar w:left="326" w:top="1440" w:right="339" w:bottom="1440" w:gutter="0" w:footer="0" w:header="0"/>
        </w:sectPr>
      </w:pPr>
    </w:p>
    <w:bookmarkStart w:id="192" w:name="page193"/>
    <w:bookmarkEnd w:id="192"/>
    <w:p>
      <w:pPr>
        <w:spacing w:after="0" w:line="154" w:lineRule="exact"/>
        <w:rPr>
          <w:sz w:val="20"/>
          <w:szCs w:val="20"/>
          <w:color w:val="auto"/>
        </w:rPr>
      </w:pPr>
    </w:p>
    <w:p>
      <w:pPr>
        <w:ind w:left="9"/>
        <w:spacing w:after="0" w:line="237" w:lineRule="auto"/>
        <w:rPr>
          <w:sz w:val="20"/>
          <w:szCs w:val="20"/>
          <w:color w:val="auto"/>
        </w:rPr>
      </w:pPr>
      <w:r>
        <w:rPr>
          <w:rFonts w:ascii="Arial" w:cs="Arial" w:eastAsia="Arial" w:hAnsi="Arial"/>
          <w:sz w:val="19"/>
          <w:szCs w:val="19"/>
          <w:color w:val="auto"/>
        </w:rPr>
        <w:t>qualified. Notwithstanding anything to the contrary, each Director shall serve until his or her successor is elected and qualified or until such earlier time as such Director’s office is vacated.</w:t>
      </w:r>
    </w:p>
    <w:p>
      <w:pPr>
        <w:spacing w:after="0" w:line="45" w:lineRule="exact"/>
        <w:rPr>
          <w:sz w:val="20"/>
          <w:szCs w:val="20"/>
          <w:color w:val="auto"/>
        </w:rPr>
      </w:pPr>
    </w:p>
    <w:p>
      <w:pPr>
        <w:jc w:val="both"/>
        <w:ind w:left="9" w:hanging="9"/>
        <w:spacing w:after="0" w:line="232" w:lineRule="auto"/>
        <w:tabs>
          <w:tab w:leader="none" w:pos="63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number of Directors, excluding External Directors, if any were elected, that comprises the Board of Directors is hereafter changed by the Board of Directors, any newly created directorships or decrease in directorships shall be so apportioned by the Board of Directors among the classes as to make all classes as nearly equal in number as is practicable, provided that no decrease in the number of Directors constituting the Board of Directors shall shorten the term of any incumbent Director.</w:t>
      </w:r>
    </w:p>
    <w:p>
      <w:pPr>
        <w:spacing w:after="0" w:line="47" w:lineRule="exact"/>
        <w:rPr>
          <w:rFonts w:ascii="Arial" w:cs="Arial" w:eastAsia="Arial" w:hAnsi="Arial"/>
          <w:sz w:val="18"/>
          <w:szCs w:val="18"/>
          <w:color w:val="auto"/>
        </w:rPr>
      </w:pPr>
    </w:p>
    <w:p>
      <w:pPr>
        <w:jc w:val="both"/>
        <w:ind w:left="9" w:hanging="9"/>
        <w:spacing w:after="0" w:line="220" w:lineRule="auto"/>
        <w:tabs>
          <w:tab w:leader="none" w:pos="63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Prior to every General Meeting of the Company at which Directors are to be elected, and subject to clauses (a) and (h) of this Article, the Board of Directors (or a Committee thereof) shall select, by a resolution adopted by a majority of the Board of Directors (or such Committee), a number of Persons to be proposed to the Shareholders for election as Directors at such General Meeting (the “</w:t>
      </w:r>
      <w:r>
        <w:rPr>
          <w:rFonts w:ascii="Arial" w:cs="Arial" w:eastAsia="Arial" w:hAnsi="Arial"/>
          <w:sz w:val="19"/>
          <w:szCs w:val="19"/>
          <w:u w:val="single" w:color="auto"/>
          <w:color w:val="auto"/>
        </w:rPr>
        <w:t>Nominees</w:t>
      </w:r>
      <w:r>
        <w:rPr>
          <w:rFonts w:ascii="Arial" w:cs="Arial" w:eastAsia="Arial" w:hAnsi="Arial"/>
          <w:sz w:val="19"/>
          <w:szCs w:val="19"/>
          <w:color w:val="auto"/>
        </w:rPr>
        <w:t>”).</w:t>
      </w:r>
    </w:p>
    <w:p>
      <w:pPr>
        <w:spacing w:after="0" w:line="46" w:lineRule="exact"/>
        <w:rPr>
          <w:rFonts w:ascii="Arial" w:cs="Arial" w:eastAsia="Arial" w:hAnsi="Arial"/>
          <w:sz w:val="19"/>
          <w:szCs w:val="19"/>
          <w:color w:val="auto"/>
        </w:rPr>
      </w:pPr>
    </w:p>
    <w:p>
      <w:pPr>
        <w:jc w:val="both"/>
        <w:ind w:left="9" w:hanging="9"/>
        <w:spacing w:after="0" w:line="217" w:lineRule="auto"/>
        <w:tabs>
          <w:tab w:leader="none" w:pos="63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Proposing Shareholder requesting to include on the agenda of a General Meeting a nomination of a Person to be proposed to the Shareholders for election as Director (such person, an “</w:t>
      </w:r>
      <w:r>
        <w:rPr>
          <w:rFonts w:ascii="Arial" w:cs="Arial" w:eastAsia="Arial" w:hAnsi="Arial"/>
          <w:sz w:val="18"/>
          <w:szCs w:val="18"/>
          <w:u w:val="single" w:color="auto"/>
          <w:color w:val="auto"/>
        </w:rPr>
        <w:t>Alternate Nominee</w:t>
      </w:r>
      <w:r>
        <w:rPr>
          <w:rFonts w:ascii="Arial" w:cs="Arial" w:eastAsia="Arial" w:hAnsi="Arial"/>
          <w:sz w:val="18"/>
          <w:szCs w:val="18"/>
          <w:color w:val="auto"/>
        </w:rPr>
        <w:t>”), may so request provided that it complies with this Article 40(e), Article 26 and applicable law. Unless otherwise determined by the Board of Directors, a Proposal Request relating to an Alternate Nominee is deemed to be a matter that is appropriate to be considered only at an Annual General Meeting. In addition to any information required to be included in accordance with applicable law, such a Proposal Request shall include information required pursuant to Article 26, and shall also set forth: (i) the name, address, telephone number, fax number and email address of the Alternate Nominee and all citizenships and residencies of the Alternate Nominee; (ii) a description of all arrangements, relations or understandings during the past three (3) years, and any other material relationships, between the Proposing Shareholder(s) or any of its affiliates and each Alternate Nominee; (iii) a declaration signed by the Alternate Nominee that he or she consents to be named in the Company’s notices and proxy materials and on the Company’s proxy card relating to the General Meeting, if provided or published, and that he or she, if elected, consents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Form 10-K, if applicable) or any other applicable form prescribed by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(v) a declaration made by the Alternate Nominee of whether he or she meets the criteria for an independent director and, if applicable,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Shareholder(s) and each Alternate Nominee shall promptly provide any other information reasonably requested by the Company, including a duly completed director and officer questionnaire, in such form as may be provided by the Company, with respect to each Alternate Nominee. The Board of Directors may refuse to acknowledge the nomination of any person not made in compliance with the foregoing. The Company shall be entitled to publish any information provided by a Proposing Shareholder or Alternate Nominee pursuant to this Article 40(e) and Article 26, and the Proposing Shareholder and Alternate Nominee shall be responsible for the accuracy and completeness thereof.</w:t>
      </w:r>
    </w:p>
    <w:p>
      <w:pPr>
        <w:spacing w:after="0" w:line="63" w:lineRule="exact"/>
        <w:rPr>
          <w:rFonts w:ascii="Arial" w:cs="Arial" w:eastAsia="Arial" w:hAnsi="Arial"/>
          <w:sz w:val="18"/>
          <w:szCs w:val="18"/>
          <w:color w:val="auto"/>
        </w:rPr>
      </w:pPr>
    </w:p>
    <w:p>
      <w:pPr>
        <w:jc w:val="both"/>
        <w:ind w:left="9" w:hanging="9"/>
        <w:spacing w:after="0" w:line="224" w:lineRule="auto"/>
        <w:tabs>
          <w:tab w:leader="none" w:pos="6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Nominees or Alternate Nominees shall be elected by a resolution adopted at the General Meeting at which they are subject for election. Notwithstanding Articles 26(a) and 26(c), in the event of a Contested Election, the method of calculation of the votes and the manner in which the resolutions will be presented to the General Meeting shall be determined by the Board of Directors in its discretion. In the event that the Board of Directors does not or is unable to make a determination on such matter, then the method described in clause (ii) below shall apply. The Board of Directors may consider, among other things, the following methods: (i) election of competing slates of Director nominees (determined in a manner approved by the Board of Directors) by a majority of the voting power represented at the General Meeting in person or by proxy and voting on such competing slates, (ii) election of individual Directors by a plurality of the voting power represented at the General Meeting in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8" w:lineRule="exact"/>
        <w:rPr>
          <w:rFonts w:ascii="Arial" w:cs="Arial" w:eastAsia="Arial" w:hAnsi="Arial"/>
          <w:sz w:val="18"/>
          <w:szCs w:val="18"/>
          <w:color w:val="auto"/>
        </w:rPr>
      </w:pPr>
    </w:p>
    <w:p>
      <w:pPr>
        <w:ind w:left="4909" w:hanging="88"/>
        <w:spacing w:after="0"/>
        <w:tabs>
          <w:tab w:leader="none" w:pos="490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20 -</w:t>
      </w:r>
    </w:p>
    <w:p>
      <w:pPr>
        <w:sectPr>
          <w:pgSz w:w="11900" w:h="16838" w:orient="portrait"/>
          <w:cols w:equalWidth="0" w:num="1">
            <w:col w:w="10609"/>
          </w:cols>
          <w:pgMar w:left="951" w:top="1440" w:right="339" w:bottom="1440" w:gutter="0" w:footer="0" w:header="0"/>
        </w:sectPr>
      </w:pPr>
    </w:p>
    <w:bookmarkStart w:id="193" w:name="page194"/>
    <w:bookmarkEnd w:id="193"/>
    <w:p>
      <w:pPr>
        <w:spacing w:after="0" w:line="154" w:lineRule="exact"/>
        <w:rPr>
          <w:sz w:val="20"/>
          <w:szCs w:val="20"/>
          <w:color w:val="auto"/>
        </w:rPr>
      </w:pPr>
    </w:p>
    <w:p>
      <w:pPr>
        <w:jc w:val="both"/>
        <w:ind w:left="634"/>
        <w:spacing w:after="0" w:line="219" w:lineRule="auto"/>
        <w:rPr>
          <w:sz w:val="20"/>
          <w:szCs w:val="20"/>
          <w:color w:val="auto"/>
        </w:rPr>
      </w:pPr>
      <w:r>
        <w:rPr>
          <w:rFonts w:ascii="Arial" w:cs="Arial" w:eastAsia="Arial" w:hAnsi="Arial"/>
          <w:sz w:val="18"/>
          <w:szCs w:val="18"/>
          <w:color w:val="auto"/>
        </w:rPr>
        <w:t xml:space="preserve">person or by proxy and voting on the election of Directors (which shall mean that the nominees receiving the largest number of “for” votes will be elected in such Contested Election), (iii) election of each nominee by a majority of the voting power represented at the General Meeting in person or by proxy and voting on the election of Directors, provided that if the number of such nominees exceeds the number of Directors to be elected, then as among such nominees the election shall be by plurality of the voting power as described above, and (iv) such other method of voting as the Board of Directors deems appropriate, including use of a “universal proxy card” listing all Nominees and Alternate Nominees by the Company. For the purposes of these Articles, election of Directors at a General Meeting shall be considered a “Contested Election” if the aggregate number of Nominees and Alternate Nominees at such meeting exceeds the total number of Directors to be elected at such meeting, with the determination thereof being made by the Secretary or the General Counsel of the Company (or, in the absence thereof, by the Chief Executive Officer of the Company) as of the close of the applicable notice of nomination period under Article 26 or under applicable law, based on whether one or more notice(s) of nomination were timely filed in accordance with Article 26, this Article 40 and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determination that an election is a Contested Election shall not be determinative as to the validity of any such notice of nomination; and provided further, that, if, prior to the time of such meeting, one or more notices of nomination of an Alternate Nominee are withdrawn such that the number of candidates for election as Director no longer exceeds the number of Directors to be elected, the election shall not be considered a Contested Election. Shareholders shall not be entitled to cumulative voting in the election of Directors, except to the extent specifically set forth in this clause (f).</w:t>
      </w:r>
    </w:p>
    <w:p>
      <w:pPr>
        <w:spacing w:after="0" w:line="52" w:lineRule="exact"/>
        <w:rPr>
          <w:sz w:val="20"/>
          <w:szCs w:val="20"/>
          <w:color w:val="auto"/>
        </w:rPr>
      </w:pPr>
    </w:p>
    <w:p>
      <w:pPr>
        <w:jc w:val="both"/>
        <w:ind w:left="634" w:hanging="9"/>
        <w:spacing w:after="0" w:line="226" w:lineRule="auto"/>
        <w:tabs>
          <w:tab w:leader="none" w:pos="126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Notwithstanding anything to the contrary herein, this Article 40 and Article 43(e) may only be amended, replaced or suspended by a resolution adopted at a General Meeting by a majority of at least sixty-five percent (65%) of the total voting power of the Company’s shareholders.</w:t>
      </w:r>
    </w:p>
    <w:p>
      <w:pPr>
        <w:spacing w:after="0" w:line="45" w:lineRule="exact"/>
        <w:rPr>
          <w:rFonts w:ascii="Arial" w:cs="Arial" w:eastAsia="Arial" w:hAnsi="Arial"/>
          <w:sz w:val="19"/>
          <w:szCs w:val="19"/>
          <w:color w:val="auto"/>
        </w:rPr>
      </w:pPr>
    </w:p>
    <w:p>
      <w:pPr>
        <w:ind w:left="634" w:hanging="9"/>
        <w:spacing w:after="0" w:line="237" w:lineRule="auto"/>
        <w:tabs>
          <w:tab w:leader="none" w:pos="126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Notwithstanding anything to the contrary in these Articles, the election, qualification, removal or dismissal of External Directors, if so elected, shall be only in accordance with the applicable provisions set forth in the Companies Law.</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Commencement of Directorship</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34"/>
        <w:spacing w:after="0" w:line="237" w:lineRule="auto"/>
        <w:rPr>
          <w:rFonts w:ascii="Arial" w:cs="Arial" w:eastAsia="Arial" w:hAnsi="Arial"/>
          <w:sz w:val="19"/>
          <w:szCs w:val="19"/>
          <w:color w:val="auto"/>
        </w:rPr>
      </w:pPr>
      <w:r>
        <w:rPr>
          <w:rFonts w:ascii="Arial" w:cs="Arial" w:eastAsia="Arial" w:hAnsi="Arial"/>
          <w:sz w:val="19"/>
          <w:szCs w:val="19"/>
          <w:color w:val="auto"/>
        </w:rPr>
        <w:t>Without derogating from Article 40, the term of office of a Director shall commence as of the date of his or her appointment or election, or on a later date if so specified in his or her appointment or election.</w:t>
      </w:r>
    </w:p>
    <w:p>
      <w:pPr>
        <w:spacing w:after="0" w:line="39" w:lineRule="exact"/>
        <w:rPr>
          <w:rFonts w:ascii="Arial" w:cs="Arial" w:eastAsia="Arial" w:hAnsi="Arial"/>
          <w:sz w:val="19"/>
          <w:szCs w:val="19"/>
          <w:color w:val="auto"/>
        </w:rPr>
      </w:pPr>
    </w:p>
    <w:p>
      <w:pPr>
        <w:ind w:left="614" w:hanging="614"/>
        <w:spacing w:after="0"/>
        <w:tabs>
          <w:tab w:leader="none" w:pos="614" w:val="left"/>
        </w:tabs>
        <w:numPr>
          <w:ilvl w:val="0"/>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Continuing Directors in the Event of Vacancies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34"/>
        <w:spacing w:after="0" w:line="220" w:lineRule="auto"/>
        <w:rPr>
          <w:rFonts w:ascii="Arial" w:cs="Arial" w:eastAsia="Arial" w:hAnsi="Arial"/>
          <w:sz w:val="19"/>
          <w:szCs w:val="19"/>
          <w:color w:val="auto"/>
        </w:rPr>
      </w:pPr>
      <w:r>
        <w:rPr>
          <w:rFonts w:ascii="Arial" w:cs="Arial" w:eastAsia="Arial" w:hAnsi="Arial"/>
          <w:sz w:val="18"/>
          <w:szCs w:val="18"/>
          <w:color w:val="auto"/>
        </w:rPr>
        <w:t>The Board of Directors (and, if so determined by the Board of Directors, the General Meeting) may at any time and from time to time appoint any person as a Director to fill a vacancy (whether such vacancy is due to a Director no longer serving or due to the number of Directors serving being less than the maximum number stated in Article 39 hereof). In the event of one or more such vacancies in the Board of Directors, the continuing Directors may continue to act in every matter, provided, however, that if the number of Directors serving is less than the minimum number provided for pursuant to Article 39 hereof, they may only act in an emergency or to fill the office of a Director which has become vacant up to a number equal to the minimum number provided for pursuant to Article 39 hereof, or in order to call a General Meeting of the Company for the purpose of electing Directors to fill any or all vacancies.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39 hereof the Board of Directors shall determine at the time of appointment the Class pursuant to Article 40 to which the additional Director shall be assigned. Notwithstanding anything to the contrary herein, this Article 42 may only be amended, replaced or suspended by a resolution adopted at a General Meeting by a majority of at least sixty-five percent (65%) of the total voting power of the Company’s shareholders.</w:t>
      </w:r>
    </w:p>
    <w:p>
      <w:pPr>
        <w:spacing w:after="0" w:line="44" w:lineRule="exact"/>
        <w:rPr>
          <w:rFonts w:ascii="Arial" w:cs="Arial" w:eastAsia="Arial" w:hAnsi="Arial"/>
          <w:sz w:val="19"/>
          <w:szCs w:val="19"/>
          <w:color w:val="auto"/>
        </w:rPr>
      </w:pPr>
    </w:p>
    <w:p>
      <w:pPr>
        <w:ind w:left="614" w:hanging="614"/>
        <w:spacing w:after="0"/>
        <w:tabs>
          <w:tab w:leader="none" w:pos="614" w:val="left"/>
        </w:tabs>
        <w:numPr>
          <w:ilvl w:val="0"/>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Vacation of Office</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34"/>
        <w:spacing w:after="0"/>
        <w:rPr>
          <w:rFonts w:ascii="Arial" w:cs="Arial" w:eastAsia="Arial" w:hAnsi="Arial"/>
          <w:sz w:val="19"/>
          <w:szCs w:val="19"/>
          <w:color w:val="auto"/>
        </w:rPr>
      </w:pPr>
      <w:r>
        <w:rPr>
          <w:rFonts w:ascii="Arial" w:cs="Arial" w:eastAsia="Arial" w:hAnsi="Arial"/>
          <w:sz w:val="19"/>
          <w:szCs w:val="19"/>
          <w:color w:val="auto"/>
        </w:rPr>
        <w:t>The office of a Director shall be vacated and he shall be dismissed or removed:</w:t>
      </w:r>
    </w:p>
    <w:p>
      <w:pPr>
        <w:spacing w:after="0" w:line="73" w:lineRule="exact"/>
        <w:rPr>
          <w:rFonts w:ascii="Arial" w:cs="Arial" w:eastAsia="Arial" w:hAnsi="Arial"/>
          <w:sz w:val="19"/>
          <w:szCs w:val="19"/>
          <w:color w:val="auto"/>
        </w:rPr>
      </w:pPr>
    </w:p>
    <w:p>
      <w:pPr>
        <w:ind w:left="1274" w:hanging="649"/>
        <w:spacing w:after="0"/>
        <w:tabs>
          <w:tab w:leader="none" w:pos="127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ipso facto, upon his or her death;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6" w:lineRule="exact"/>
        <w:rPr>
          <w:rFonts w:ascii="Arial" w:cs="Arial" w:eastAsia="Arial" w:hAnsi="Arial"/>
          <w:sz w:val="19"/>
          <w:szCs w:val="19"/>
          <w:color w:val="auto"/>
        </w:rPr>
      </w:pPr>
    </w:p>
    <w:p>
      <w:pPr>
        <w:ind w:left="5534" w:hanging="88"/>
        <w:spacing w:after="0"/>
        <w:tabs>
          <w:tab w:leader="none" w:pos="5534" w:val="left"/>
        </w:tabs>
        <w:numPr>
          <w:ilvl w:val="2"/>
          <w:numId w:val="133"/>
        </w:numPr>
        <w:rPr>
          <w:rFonts w:ascii="Arial" w:cs="Arial" w:eastAsia="Arial" w:hAnsi="Arial"/>
          <w:sz w:val="16"/>
          <w:szCs w:val="16"/>
          <w:color w:val="auto"/>
        </w:rPr>
      </w:pPr>
      <w:r>
        <w:rPr>
          <w:rFonts w:ascii="Arial" w:cs="Arial" w:eastAsia="Arial" w:hAnsi="Arial"/>
          <w:sz w:val="16"/>
          <w:szCs w:val="16"/>
          <w:color w:val="auto"/>
        </w:rPr>
        <w:t>21 -</w:t>
      </w:r>
    </w:p>
    <w:p>
      <w:pPr>
        <w:sectPr>
          <w:pgSz w:w="11900" w:h="16838" w:orient="portrait"/>
          <w:cols w:equalWidth="0" w:num="1">
            <w:col w:w="11234"/>
          </w:cols>
          <w:pgMar w:left="326" w:top="1440" w:right="339" w:bottom="1440" w:gutter="0" w:footer="0" w:header="0"/>
        </w:sectPr>
      </w:pPr>
    </w:p>
    <w:bookmarkStart w:id="194" w:name="page195"/>
    <w:bookmarkEnd w:id="194"/>
    <w:p>
      <w:pPr>
        <w:spacing w:after="0" w:line="154" w:lineRule="exact"/>
        <w:rPr>
          <w:sz w:val="20"/>
          <w:szCs w:val="20"/>
          <w:color w:val="auto"/>
        </w:rPr>
      </w:pPr>
    </w:p>
    <w:p>
      <w:pPr>
        <w:ind w:left="1260" w:hanging="629"/>
        <w:spacing w:after="0"/>
        <w:tabs>
          <w:tab w:leader="none" w:pos="126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if he or she is prevented by applicable law from serving as a Director;</w:t>
      </w:r>
    </w:p>
    <w:p>
      <w:pPr>
        <w:spacing w:after="0" w:line="73" w:lineRule="exact"/>
        <w:rPr>
          <w:rFonts w:ascii="Arial" w:cs="Arial" w:eastAsia="Arial" w:hAnsi="Arial"/>
          <w:sz w:val="19"/>
          <w:szCs w:val="19"/>
          <w:color w:val="auto"/>
        </w:rPr>
      </w:pPr>
    </w:p>
    <w:p>
      <w:pPr>
        <w:ind w:left="1280" w:hanging="649"/>
        <w:spacing w:after="0"/>
        <w:tabs>
          <w:tab w:leader="none" w:pos="12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the Board of Directors determines that due to his or her mental or physical state he or she is unable to serve as a director;</w:t>
      </w:r>
    </w:p>
    <w:p>
      <w:pPr>
        <w:spacing w:after="0" w:line="84" w:lineRule="exact"/>
        <w:rPr>
          <w:rFonts w:ascii="Arial" w:cs="Arial" w:eastAsia="Arial" w:hAnsi="Arial"/>
          <w:sz w:val="18"/>
          <w:szCs w:val="18"/>
          <w:color w:val="auto"/>
        </w:rPr>
      </w:pPr>
    </w:p>
    <w:p>
      <w:pPr>
        <w:ind w:left="1260" w:hanging="629"/>
        <w:spacing w:after="0"/>
        <w:tabs>
          <w:tab w:leader="none" w:pos="126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if his or her directorship expires pursuant to these Articles and/or applicable law;</w:t>
      </w:r>
    </w:p>
    <w:p>
      <w:pPr>
        <w:spacing w:after="0" w:line="73" w:lineRule="exact"/>
        <w:rPr>
          <w:rFonts w:ascii="Arial" w:cs="Arial" w:eastAsia="Arial" w:hAnsi="Arial"/>
          <w:sz w:val="19"/>
          <w:szCs w:val="19"/>
          <w:color w:val="auto"/>
        </w:rPr>
      </w:pPr>
    </w:p>
    <w:p>
      <w:pPr>
        <w:ind w:left="640" w:hanging="9"/>
        <w:spacing w:after="0" w:line="237" w:lineRule="auto"/>
        <w:tabs>
          <w:tab w:leader="none" w:pos="1269" w:val="left"/>
        </w:tabs>
        <w:numPr>
          <w:ilvl w:val="1"/>
          <w:numId w:val="134"/>
        </w:numPr>
        <w:rPr>
          <w:rFonts w:ascii="Arial" w:cs="Arial" w:eastAsia="Arial" w:hAnsi="Arial"/>
          <w:sz w:val="19"/>
          <w:szCs w:val="19"/>
          <w:color w:val="auto"/>
        </w:rPr>
      </w:pPr>
      <w:r>
        <w:rPr>
          <w:rFonts w:ascii="Arial" w:cs="Arial" w:eastAsia="Arial" w:hAnsi="Arial"/>
          <w:sz w:val="19"/>
          <w:szCs w:val="19"/>
          <w:color w:val="auto"/>
        </w:rPr>
        <w:t>by a resolution adopted at a General Meeting by a majority of at least sixty-five percent (65%) of the total voting power of the Shareholders (with such removal becoming effective on the date fixed in such resolution);</w:t>
      </w:r>
    </w:p>
    <w:p>
      <w:pPr>
        <w:spacing w:after="0" w:line="45" w:lineRule="exact"/>
        <w:rPr>
          <w:rFonts w:ascii="Arial" w:cs="Arial" w:eastAsia="Arial" w:hAnsi="Arial"/>
          <w:sz w:val="19"/>
          <w:szCs w:val="19"/>
          <w:color w:val="auto"/>
        </w:rPr>
      </w:pPr>
    </w:p>
    <w:p>
      <w:pPr>
        <w:ind w:left="640" w:hanging="9"/>
        <w:spacing w:after="0" w:line="237" w:lineRule="auto"/>
        <w:tabs>
          <w:tab w:leader="none" w:pos="127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by his or her written resignation, such resignation becoming effective on the date fixed therein, or upon the delivery thereof to the Company, whichever is later; or</w:t>
      </w:r>
    </w:p>
    <w:p>
      <w:pPr>
        <w:spacing w:after="0" w:line="45" w:lineRule="exact"/>
        <w:rPr>
          <w:rFonts w:ascii="Arial" w:cs="Arial" w:eastAsia="Arial" w:hAnsi="Arial"/>
          <w:sz w:val="19"/>
          <w:szCs w:val="19"/>
          <w:color w:val="auto"/>
        </w:rPr>
      </w:pPr>
    </w:p>
    <w:p>
      <w:pPr>
        <w:ind w:left="640" w:hanging="9"/>
        <w:spacing w:after="0" w:line="237" w:lineRule="auto"/>
        <w:tabs>
          <w:tab w:leader="none" w:pos="1266" w:val="left"/>
        </w:tabs>
        <w:numPr>
          <w:ilvl w:val="1"/>
          <w:numId w:val="134"/>
        </w:numPr>
        <w:rPr>
          <w:rFonts w:ascii="Arial" w:cs="Arial" w:eastAsia="Arial" w:hAnsi="Arial"/>
          <w:sz w:val="19"/>
          <w:szCs w:val="19"/>
          <w:color w:val="auto"/>
        </w:rPr>
      </w:pPr>
      <w:r>
        <w:rPr>
          <w:rFonts w:ascii="Arial" w:cs="Arial" w:eastAsia="Arial" w:hAnsi="Arial"/>
          <w:sz w:val="19"/>
          <w:szCs w:val="19"/>
          <w:color w:val="auto"/>
        </w:rPr>
        <w:t>with respect to an External Director, if so elected, and notwithstanding anything to the contrary herein, only pursuant to applicable law.</w:t>
      </w:r>
    </w:p>
    <w:p>
      <w:pPr>
        <w:spacing w:after="0" w:line="39" w:lineRule="exact"/>
        <w:rPr>
          <w:rFonts w:ascii="Arial" w:cs="Arial" w:eastAsia="Arial" w:hAnsi="Arial"/>
          <w:sz w:val="19"/>
          <w:szCs w:val="19"/>
          <w:color w:val="auto"/>
        </w:rPr>
      </w:pPr>
    </w:p>
    <w:p>
      <w:pPr>
        <w:ind w:left="620" w:hanging="614"/>
        <w:spacing w:after="0"/>
        <w:tabs>
          <w:tab w:leader="none" w:pos="620" w:val="left"/>
        </w:tabs>
        <w:numPr>
          <w:ilvl w:val="0"/>
          <w:numId w:val="135"/>
        </w:numPr>
        <w:rPr>
          <w:rFonts w:ascii="Arial" w:cs="Arial" w:eastAsia="Arial" w:hAnsi="Arial"/>
          <w:sz w:val="19"/>
          <w:szCs w:val="19"/>
          <w:color w:val="auto"/>
        </w:rPr>
      </w:pPr>
      <w:r>
        <w:rPr>
          <w:rFonts w:ascii="Arial" w:cs="Arial" w:eastAsia="Arial" w:hAnsi="Arial"/>
          <w:sz w:val="19"/>
          <w:szCs w:val="19"/>
          <w:b w:val="1"/>
          <w:bCs w:val="1"/>
          <w:u w:val="single" w:color="auto"/>
          <w:color w:val="auto"/>
        </w:rPr>
        <w:t>Conflict of Interests; Approval of Related Party Transactions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36" w:lineRule="auto"/>
        <w:tabs>
          <w:tab w:leader="none" w:pos="133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Subject to the provisions of applicable law and these Articles, no Director shall be disqualified by virtue of his or her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avoided,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or her interest, as well as any material fact or document, must be disclosed by him or her at the meeting of the Board of Directors at which the contract or arrangement is first considered, if his or her interest then exists, or, in any other case, at no later than the first meeting of the Board of Directors after the acquisition of his or her interest.</w:t>
      </w:r>
    </w:p>
    <w:p>
      <w:pPr>
        <w:spacing w:after="0" w:line="45" w:lineRule="exact"/>
        <w:rPr>
          <w:rFonts w:ascii="Arial" w:cs="Arial" w:eastAsia="Arial" w:hAnsi="Arial"/>
          <w:sz w:val="17"/>
          <w:szCs w:val="17"/>
          <w:color w:val="auto"/>
        </w:rPr>
      </w:pPr>
    </w:p>
    <w:p>
      <w:pPr>
        <w:jc w:val="both"/>
        <w:ind w:left="640" w:hanging="9"/>
        <w:spacing w:after="0" w:line="217" w:lineRule="auto"/>
        <w:tabs>
          <w:tab w:leader="none" w:pos="126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Subject to the Companies Law and these Articles, a transaction between the Company and an Office Holder, and a transaction between the Company and another entity in which an Office Holder of the Company has a personal interest, in each case, which is not an Extraordinary Transaction (as defined by the Companies Law), shall require only approval by the Board of Directors or a Committee of the Board of Directors. Such authorization, as well as the actual approval, may be for a particular transaction or more generally for specific type of transactions.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Proceedings of the Board of Directors</w:t>
      </w:r>
    </w:p>
    <w:p>
      <w:pPr>
        <w:spacing w:after="0" w:line="73" w:lineRule="exact"/>
        <w:rPr>
          <w:sz w:val="20"/>
          <w:szCs w:val="20"/>
          <w:color w:val="auto"/>
        </w:rPr>
      </w:pPr>
    </w:p>
    <w:p>
      <w:pPr>
        <w:ind w:left="620" w:hanging="614"/>
        <w:spacing w:after="0"/>
        <w:tabs>
          <w:tab w:leader="none" w:pos="620" w:val="left"/>
        </w:tabs>
        <w:numPr>
          <w:ilvl w:val="0"/>
          <w:numId w:val="136"/>
        </w:numPr>
        <w:rPr>
          <w:rFonts w:ascii="Arial" w:cs="Arial" w:eastAsia="Arial" w:hAnsi="Arial"/>
          <w:sz w:val="19"/>
          <w:szCs w:val="19"/>
          <w:color w:val="auto"/>
        </w:rPr>
      </w:pP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hanging="9"/>
        <w:spacing w:after="0" w:line="237" w:lineRule="auto"/>
        <w:tabs>
          <w:tab w:leader="none" w:pos="1269"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Board of Directors may meet and adjourn its meetings and otherwise regulate such meetings and proceedings as the Board of Directors thinks fit.</w:t>
      </w:r>
    </w:p>
    <w:p>
      <w:pPr>
        <w:spacing w:after="0" w:line="45" w:lineRule="exact"/>
        <w:rPr>
          <w:rFonts w:ascii="Arial" w:cs="Arial" w:eastAsia="Arial" w:hAnsi="Arial"/>
          <w:sz w:val="19"/>
          <w:szCs w:val="19"/>
          <w:color w:val="auto"/>
        </w:rPr>
      </w:pPr>
    </w:p>
    <w:p>
      <w:pPr>
        <w:jc w:val="both"/>
        <w:ind w:left="640" w:hanging="9"/>
        <w:spacing w:after="0" w:line="224" w:lineRule="auto"/>
        <w:tabs>
          <w:tab w:leader="none" w:pos="126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meeting of the Board of Directors shall be convened by the Secretary or the General Counsel of the Company upon instruction of the Chairperson or upon a request of at least two Directors which is submitted to the Chairperson or in any event that such meeting is required by the provisions of the Companies Law. In the event that the Chairperson does not instruct the Secretary or the General Counsel of the Company to convene a meeting upon a request of at least two (2) Directors within seven (7) days of such request, then such two Directors may convene a meeting of the Board of Directors. Any meeting of the Board of Directors shall be convened upon not less than two (2) days' notice, unless such notice is waived in writing by all of the Directors as to a particular meeting or by their attendance at such meeting or unless the matters to be discussed at such meeting are of such urgency and importance that notice is reasonably determined by the Chairperson as ought to be waived or shortened under the circumstances.</w:t>
      </w:r>
    </w:p>
    <w:p>
      <w:pPr>
        <w:spacing w:after="0" w:line="44" w:lineRule="exact"/>
        <w:rPr>
          <w:rFonts w:ascii="Arial" w:cs="Arial" w:eastAsia="Arial" w:hAnsi="Arial"/>
          <w:sz w:val="18"/>
          <w:szCs w:val="18"/>
          <w:color w:val="auto"/>
        </w:rPr>
      </w:pPr>
    </w:p>
    <w:p>
      <w:pPr>
        <w:ind w:left="640" w:hanging="9"/>
        <w:spacing w:after="0" w:line="237" w:lineRule="auto"/>
        <w:tabs>
          <w:tab w:leader="none" w:pos="1269" w:val="left"/>
        </w:tabs>
        <w:numPr>
          <w:ilvl w:val="1"/>
          <w:numId w:val="136"/>
        </w:numPr>
        <w:rPr>
          <w:rFonts w:ascii="Arial" w:cs="Arial" w:eastAsia="Arial" w:hAnsi="Arial"/>
          <w:sz w:val="19"/>
          <w:szCs w:val="19"/>
          <w:color w:val="auto"/>
        </w:rPr>
      </w:pPr>
      <w:r>
        <w:rPr>
          <w:rFonts w:ascii="Arial" w:cs="Arial" w:eastAsia="Arial" w:hAnsi="Arial"/>
          <w:sz w:val="19"/>
          <w:szCs w:val="19"/>
          <w:color w:val="auto"/>
        </w:rPr>
        <w:t>Notice of any such meeting shall be given orally, by telephone, in writing or by mail, facsimile, email or such other means of delivery of notices as the Company may apply, from time to time.</w:t>
      </w:r>
    </w:p>
    <w:p>
      <w:pPr>
        <w:spacing w:after="0" w:line="45" w:lineRule="exact"/>
        <w:rPr>
          <w:rFonts w:ascii="Arial" w:cs="Arial" w:eastAsia="Arial" w:hAnsi="Arial"/>
          <w:sz w:val="19"/>
          <w:szCs w:val="19"/>
          <w:color w:val="auto"/>
        </w:rPr>
      </w:pPr>
    </w:p>
    <w:p>
      <w:pPr>
        <w:jc w:val="both"/>
        <w:ind w:left="640" w:hanging="9"/>
        <w:spacing w:after="0" w:line="226" w:lineRule="auto"/>
        <w:tabs>
          <w:tab w:leader="none" w:pos="1266" w:val="left"/>
        </w:tabs>
        <w:numPr>
          <w:ilvl w:val="1"/>
          <w:numId w:val="136"/>
        </w:numPr>
        <w:rPr>
          <w:rFonts w:ascii="Arial" w:cs="Arial" w:eastAsia="Arial" w:hAnsi="Arial"/>
          <w:sz w:val="19"/>
          <w:szCs w:val="19"/>
          <w:color w:val="auto"/>
        </w:rPr>
      </w:pPr>
      <w:r>
        <w:rPr>
          <w:rFonts w:ascii="Arial" w:cs="Arial" w:eastAsia="Arial" w:hAnsi="Arial"/>
          <w:sz w:val="19"/>
          <w:szCs w:val="19"/>
          <w:color w:val="auto"/>
        </w:rPr>
        <w:t>Notwithstanding anything to the contrary herein, failure to deliver notice to a Director of any such meeting in the manner required hereby may be waived by such Director, and a meeting shall be deemed to have been duly convened notwithstanding such defective notice if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8" w:lineRule="exact"/>
        <w:rPr>
          <w:rFonts w:ascii="Arial" w:cs="Arial" w:eastAsia="Arial" w:hAnsi="Arial"/>
          <w:sz w:val="19"/>
          <w:szCs w:val="19"/>
          <w:color w:val="auto"/>
        </w:rPr>
      </w:pPr>
    </w:p>
    <w:p>
      <w:pPr>
        <w:ind w:left="5540" w:hanging="88"/>
        <w:spacing w:after="0"/>
        <w:tabs>
          <w:tab w:leader="none" w:pos="5540" w:val="left"/>
        </w:tabs>
        <w:numPr>
          <w:ilvl w:val="2"/>
          <w:numId w:val="136"/>
        </w:numPr>
        <w:rPr>
          <w:rFonts w:ascii="Arial" w:cs="Arial" w:eastAsia="Arial" w:hAnsi="Arial"/>
          <w:sz w:val="16"/>
          <w:szCs w:val="16"/>
          <w:color w:val="auto"/>
        </w:rPr>
      </w:pPr>
      <w:r>
        <w:rPr>
          <w:rFonts w:ascii="Arial" w:cs="Arial" w:eastAsia="Arial" w:hAnsi="Arial"/>
          <w:sz w:val="16"/>
          <w:szCs w:val="16"/>
          <w:color w:val="auto"/>
        </w:rPr>
        <w:t>22 -</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54" w:lineRule="exact"/>
        <w:rPr>
          <w:sz w:val="20"/>
          <w:szCs w:val="20"/>
          <w:color w:val="auto"/>
        </w:rPr>
      </w:pPr>
    </w:p>
    <w:p>
      <w:pPr>
        <w:jc w:val="both"/>
        <w:ind w:left="640"/>
        <w:spacing w:after="0" w:line="217" w:lineRule="auto"/>
        <w:rPr>
          <w:sz w:val="20"/>
          <w:szCs w:val="20"/>
          <w:color w:val="auto"/>
        </w:rPr>
      </w:pPr>
      <w:r>
        <w:rPr>
          <w:rFonts w:ascii="Arial" w:cs="Arial" w:eastAsia="Arial" w:hAnsi="Arial"/>
          <w:sz w:val="19"/>
          <w:szCs w:val="19"/>
          <w:color w:val="auto"/>
        </w:rPr>
        <w:t>such failure or defect is waived prior to action being taken at such meeting, by all Directors entitled to participate at such meeting to whom notice was not duly given as aforesaid. Without derogating from the foregoing, no Director present at any time during a meeting of the Board of Directors shall be entitled to seek the cancellation or invalidation of any proceedings or resolutions adopted at such meeting on account of any defect in the notice of such meeting relating to the date, time or the place thereof or the convening of the meeting.</w:t>
      </w:r>
    </w:p>
    <w:p>
      <w:pPr>
        <w:spacing w:after="0" w:line="40" w:lineRule="exact"/>
        <w:rPr>
          <w:sz w:val="20"/>
          <w:szCs w:val="20"/>
          <w:color w:val="auto"/>
        </w:rPr>
      </w:pPr>
    </w:p>
    <w:p>
      <w:pPr>
        <w:ind w:left="620" w:hanging="614"/>
        <w:spacing w:after="0"/>
        <w:tabs>
          <w:tab w:leader="none" w:pos="620" w:val="left"/>
        </w:tabs>
        <w:numPr>
          <w:ilvl w:val="0"/>
          <w:numId w:val="137"/>
        </w:numPr>
        <w:rPr>
          <w:rFonts w:ascii="Arial" w:cs="Arial" w:eastAsia="Arial" w:hAnsi="Arial"/>
          <w:sz w:val="19"/>
          <w:szCs w:val="19"/>
          <w:color w:val="auto"/>
        </w:rPr>
      </w:pPr>
      <w:r>
        <w:rPr>
          <w:rFonts w:ascii="Arial" w:cs="Arial" w:eastAsia="Arial" w:hAnsi="Arial"/>
          <w:sz w:val="19"/>
          <w:szCs w:val="19"/>
          <w:b w:val="1"/>
          <w:bCs w:val="1"/>
          <w:u w:val="single" w:color="auto"/>
          <w:color w:val="auto"/>
        </w:rPr>
        <w:t>Quorum</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0" w:lineRule="auto"/>
        <w:rPr>
          <w:rFonts w:ascii="Arial" w:cs="Arial" w:eastAsia="Arial" w:hAnsi="Arial"/>
          <w:sz w:val="19"/>
          <w:szCs w:val="19"/>
          <w:color w:val="auto"/>
        </w:rPr>
      </w:pPr>
      <w:r>
        <w:rPr>
          <w:rFonts w:ascii="Arial" w:cs="Arial" w:eastAsia="Arial" w:hAnsi="Arial"/>
          <w:sz w:val="18"/>
          <w:szCs w:val="18"/>
          <w:color w:val="auto"/>
        </w:rPr>
        <w:t>Until otherwise unanimously decided by the Board of Directors, a quorum at a meeting of the Board of Directors shall be constituted by the presence in person or by any means of communication of a majority of the Directors then in office who are lawfully entitled to participate and vote in the meeting. No business shall be transacted at a meeting of the Board of Directors unless the requisite quorum is present (in person or by any means of communication provided that all participating Directors can hear each other simultaneously) when the meeting proceeds to business. If within thirty (30) minutes from the time appointed for a meeting of the Board of Directors a quorum is not present, the meeting shall stand adjourned at the same place and time forty-eight (48) hours thereafter unless the Chairperson has determined that there is such urgency and importance that a shorter period is required under the circumstances. If an adjourned meeting is convened in accordance with the foregoing and a quorum is not present within thirty (30) minutes of the announced time, the requisite quorum at such adjourned meeting shall be, any two (2) Directors, if the number of Directors then serving is up to five (5), and any three (3) Directors, if the number of Directors then serving is more than five (5), in each case who are lawfully entitled to participate in the meeting and who are present at such adjourned meeting. At an adjourned meeting of the Board of Directors the only matters to be considered shall be those matters which might have been lawfully considered at the meeting of the Board of Directors originally called if a requisite quorum had been present, and the only resolutions to be adopted are such types of resolutions which could have been adopted at the meeting of the Board of Directors originally called.</w:t>
      </w:r>
    </w:p>
    <w:p>
      <w:pPr>
        <w:spacing w:after="0" w:line="40" w:lineRule="exact"/>
        <w:rPr>
          <w:rFonts w:ascii="Arial" w:cs="Arial" w:eastAsia="Arial" w:hAnsi="Arial"/>
          <w:sz w:val="19"/>
          <w:szCs w:val="19"/>
          <w:color w:val="auto"/>
        </w:rPr>
      </w:pPr>
    </w:p>
    <w:p>
      <w:pPr>
        <w:ind w:left="620" w:hanging="614"/>
        <w:spacing w:after="0"/>
        <w:tabs>
          <w:tab w:leader="none" w:pos="620" w:val="left"/>
        </w:tabs>
        <w:numPr>
          <w:ilvl w:val="0"/>
          <w:numId w:val="137"/>
        </w:numPr>
        <w:rPr>
          <w:rFonts w:ascii="Arial" w:cs="Arial" w:eastAsia="Arial" w:hAnsi="Arial"/>
          <w:sz w:val="19"/>
          <w:szCs w:val="19"/>
          <w:color w:val="auto"/>
        </w:rPr>
      </w:pPr>
      <w:r>
        <w:rPr>
          <w:rFonts w:ascii="Arial" w:cs="Arial" w:eastAsia="Arial" w:hAnsi="Arial"/>
          <w:sz w:val="19"/>
          <w:szCs w:val="19"/>
          <w:b w:val="1"/>
          <w:bCs w:val="1"/>
          <w:u w:val="single" w:color="auto"/>
          <w:color w:val="auto"/>
        </w:rPr>
        <w:t>Chairperson of the Board of Directors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15" w:lineRule="auto"/>
        <w:rPr>
          <w:rFonts w:ascii="Arial" w:cs="Arial" w:eastAsia="Arial" w:hAnsi="Arial"/>
          <w:sz w:val="19"/>
          <w:szCs w:val="19"/>
          <w:color w:val="auto"/>
        </w:rPr>
      </w:pPr>
      <w:r>
        <w:rPr>
          <w:rFonts w:ascii="Arial" w:cs="Arial" w:eastAsia="Arial" w:hAnsi="Arial"/>
          <w:sz w:val="19"/>
          <w:szCs w:val="19"/>
          <w:color w:val="auto"/>
        </w:rPr>
        <w:t>The Board of Directors shall, from time to time, elect one of its members to be the Chairperson of the Board of Directors, remove such Chairperson from office and appoint in his or her place. The Chairperson of the Board of Directors shall preside at every meeting of the Board of Directors, but if there is no such Chairperson, or if at any meeting he is not present within fifteen (15) minutes of the time fixed for the meeting or if he is unwilling to take the chair, the Directors present shall choose one of the Directors present at the meeting to be the Chairperson of such meeting. The office of Chairperson of the Board of Directors shall not, by itself, entitle the holder to a second or casting vote.</w:t>
      </w:r>
    </w:p>
    <w:p>
      <w:pPr>
        <w:spacing w:after="0" w:line="38" w:lineRule="exact"/>
        <w:rPr>
          <w:rFonts w:ascii="Arial" w:cs="Arial" w:eastAsia="Arial" w:hAnsi="Arial"/>
          <w:sz w:val="19"/>
          <w:szCs w:val="19"/>
          <w:color w:val="auto"/>
        </w:rPr>
      </w:pPr>
    </w:p>
    <w:p>
      <w:pPr>
        <w:ind w:left="620" w:hanging="614"/>
        <w:spacing w:after="0"/>
        <w:tabs>
          <w:tab w:leader="none" w:pos="620" w:val="left"/>
        </w:tabs>
        <w:numPr>
          <w:ilvl w:val="0"/>
          <w:numId w:val="137"/>
        </w:numPr>
        <w:rPr>
          <w:rFonts w:ascii="Arial" w:cs="Arial" w:eastAsia="Arial" w:hAnsi="Arial"/>
          <w:sz w:val="19"/>
          <w:szCs w:val="19"/>
          <w:color w:val="auto"/>
        </w:rPr>
      </w:pPr>
      <w:r>
        <w:rPr>
          <w:rFonts w:ascii="Arial" w:cs="Arial" w:eastAsia="Arial" w:hAnsi="Arial"/>
          <w:sz w:val="19"/>
          <w:szCs w:val="19"/>
          <w:b w:val="1"/>
          <w:bCs w:val="1"/>
          <w:u w:val="single" w:color="auto"/>
          <w:color w:val="auto"/>
        </w:rPr>
        <w:t>Validity of Acts Despite Defects</w:t>
      </w:r>
      <w:r>
        <w:rPr>
          <w:rFonts w:ascii="Arial" w:cs="Arial" w:eastAsia="Arial" w:hAnsi="Arial"/>
          <w:sz w:val="19"/>
          <w:szCs w:val="19"/>
          <w:color w:val="auto"/>
        </w:rPr>
        <w:t>.</w:t>
      </w:r>
    </w:p>
    <w:p>
      <w:pPr>
        <w:spacing w:after="0" w:line="79" w:lineRule="exact"/>
        <w:rPr>
          <w:sz w:val="20"/>
          <w:szCs w:val="20"/>
          <w:color w:val="auto"/>
        </w:rPr>
      </w:pPr>
    </w:p>
    <w:p>
      <w:pPr>
        <w:jc w:val="both"/>
        <w:ind w:left="640"/>
        <w:spacing w:after="0" w:line="220" w:lineRule="auto"/>
        <w:rPr>
          <w:sz w:val="20"/>
          <w:szCs w:val="20"/>
          <w:color w:val="auto"/>
        </w:rPr>
      </w:pPr>
      <w:r>
        <w:rPr>
          <w:rFonts w:ascii="Arial" w:cs="Arial" w:eastAsia="Arial" w:hAnsi="Arial"/>
          <w:sz w:val="19"/>
          <w:szCs w:val="19"/>
          <w:color w:val="auto"/>
        </w:rPr>
        <w:t>All acts done or transacted at any meeting of the Board of Directors, or of a Committee of the Board of Directors, or by any person(s) acting as Director(s), shall, notwithstanding that it may afterwards be discovered that there was some defect in the appointment of the participants in such meeting or any of them or any person(s) acting as aforesaid, or that they or any of them were disqualified, be as valid as if there were no such defect or disqualification.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Executive Officer</w:t>
      </w:r>
    </w:p>
    <w:p>
      <w:pPr>
        <w:spacing w:after="0" w:line="73" w:lineRule="exact"/>
        <w:rPr>
          <w:sz w:val="20"/>
          <w:szCs w:val="20"/>
          <w:color w:val="auto"/>
        </w:rPr>
      </w:pPr>
    </w:p>
    <w:p>
      <w:pPr>
        <w:ind w:left="620" w:hanging="614"/>
        <w:spacing w:after="0"/>
        <w:tabs>
          <w:tab w:leader="none" w:pos="620" w:val="left"/>
        </w:tabs>
        <w:numPr>
          <w:ilvl w:val="0"/>
          <w:numId w:val="138"/>
        </w:numPr>
        <w:rPr>
          <w:rFonts w:ascii="Arial" w:cs="Arial" w:eastAsia="Arial" w:hAnsi="Arial"/>
          <w:sz w:val="19"/>
          <w:szCs w:val="19"/>
          <w:color w:val="auto"/>
        </w:rPr>
      </w:pPr>
      <w:r>
        <w:rPr>
          <w:rFonts w:ascii="Arial" w:cs="Arial" w:eastAsia="Arial" w:hAnsi="Arial"/>
          <w:sz w:val="19"/>
          <w:szCs w:val="19"/>
          <w:b w:val="1"/>
          <w:bCs w:val="1"/>
          <w:u w:val="single" w:color="auto"/>
          <w:color w:val="auto"/>
        </w:rPr>
        <w:t>Chief Executive Officer</w:t>
      </w:r>
      <w:r>
        <w:rPr>
          <w:rFonts w:ascii="Arial" w:cs="Arial" w:eastAsia="Arial" w:hAnsi="Arial"/>
          <w:sz w:val="19"/>
          <w:szCs w:val="19"/>
          <w:color w:val="auto"/>
        </w:rPr>
        <w:t>.</w:t>
      </w:r>
    </w:p>
    <w:p>
      <w:pPr>
        <w:spacing w:after="0" w:line="79" w:lineRule="exact"/>
        <w:rPr>
          <w:sz w:val="20"/>
          <w:szCs w:val="20"/>
          <w:color w:val="auto"/>
        </w:rPr>
      </w:pPr>
    </w:p>
    <w:p>
      <w:pPr>
        <w:jc w:val="both"/>
        <w:ind w:left="640"/>
        <w:spacing w:after="0" w:line="238" w:lineRule="auto"/>
        <w:rPr>
          <w:sz w:val="20"/>
          <w:szCs w:val="20"/>
          <w:color w:val="auto"/>
        </w:rPr>
      </w:pPr>
      <w:r>
        <w:rPr>
          <w:rFonts w:ascii="Arial" w:cs="Arial" w:eastAsia="Arial" w:hAnsi="Arial"/>
          <w:sz w:val="17"/>
          <w:szCs w:val="17"/>
          <w:color w:val="auto"/>
        </w:rPr>
        <w:t>The Board of Directors shall from time to time appoint one or more persons, whether or not Directors, as Chief Executive Officer of the Company who shall have the powers and authorities set forth in the Companies Law, and may confer upon such person(s), and from time to time modify or revoke, such titles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any additional approvals required under, and the provisions of, the Companies Law and of any contract between any such person and the Company) fix their salaries and compensation, remove or dismiss them from office and appoint another or others in his, her or their place or 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- 23 -</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Minutes</w:t>
      </w:r>
    </w:p>
    <w:p>
      <w:pPr>
        <w:spacing w:after="0" w:line="73" w:lineRule="exact"/>
        <w:rPr>
          <w:sz w:val="20"/>
          <w:szCs w:val="20"/>
          <w:color w:val="auto"/>
        </w:rPr>
      </w:pPr>
    </w:p>
    <w:p>
      <w:pPr>
        <w:ind w:left="620" w:hanging="614"/>
        <w:spacing w:after="0"/>
        <w:tabs>
          <w:tab w:leader="none" w:pos="620" w:val="left"/>
        </w:tabs>
        <w:numPr>
          <w:ilvl w:val="0"/>
          <w:numId w:val="139"/>
        </w:numPr>
        <w:rPr>
          <w:rFonts w:ascii="Arial" w:cs="Arial" w:eastAsia="Arial" w:hAnsi="Arial"/>
          <w:sz w:val="19"/>
          <w:szCs w:val="19"/>
          <w:color w:val="auto"/>
        </w:rPr>
      </w:pPr>
      <w:r>
        <w:rPr>
          <w:rFonts w:ascii="Arial" w:cs="Arial" w:eastAsia="Arial" w:hAnsi="Arial"/>
          <w:sz w:val="19"/>
          <w:szCs w:val="19"/>
          <w:b w:val="1"/>
          <w:bCs w:val="1"/>
          <w:u w:val="single" w:color="auto"/>
          <w:color w:val="auto"/>
        </w:rPr>
        <w:t>Minutes</w:t>
      </w:r>
      <w:r>
        <w:rPr>
          <w:rFonts w:ascii="Arial" w:cs="Arial" w:eastAsia="Arial" w:hAnsi="Arial"/>
          <w:sz w:val="19"/>
          <w:szCs w:val="19"/>
          <w:u w:val="single" w:color="auto"/>
          <w:color w:val="auto"/>
        </w:rPr>
        <w:t>.</w:t>
      </w:r>
    </w:p>
    <w:p>
      <w:pPr>
        <w:spacing w:after="0" w:line="79" w:lineRule="exact"/>
        <w:rPr>
          <w:sz w:val="20"/>
          <w:szCs w:val="20"/>
          <w:color w:val="auto"/>
        </w:rPr>
      </w:pPr>
    </w:p>
    <w:p>
      <w:pPr>
        <w:jc w:val="both"/>
        <w:ind w:left="640"/>
        <w:spacing w:after="0" w:line="220" w:lineRule="auto"/>
        <w:rPr>
          <w:sz w:val="20"/>
          <w:szCs w:val="20"/>
          <w:color w:val="auto"/>
        </w:rPr>
      </w:pPr>
      <w:r>
        <w:rPr>
          <w:rFonts w:ascii="Arial" w:cs="Arial" w:eastAsia="Arial" w:hAnsi="Arial"/>
          <w:sz w:val="19"/>
          <w:szCs w:val="19"/>
          <w:color w:val="auto"/>
        </w:rPr>
        <w:t>Any minutes of the General Meeting or the Board of Directors or any Committee thereof, if purporting to be signed by the Chairperson of the General Meeting, the Board of Directors or a Committee thereof, as the case may be, or by the Chairperson of the next succeeding General Meeting, meeting of the Board of Directors or meeting of a Committee, as the case may be, shall constitute prima facie evidence of the matters recorded therein.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Dividends</w:t>
      </w:r>
    </w:p>
    <w:p>
      <w:pPr>
        <w:spacing w:after="0" w:line="73" w:lineRule="exact"/>
        <w:rPr>
          <w:sz w:val="20"/>
          <w:szCs w:val="20"/>
          <w:color w:val="auto"/>
        </w:rPr>
      </w:pPr>
    </w:p>
    <w:p>
      <w:pPr>
        <w:ind w:left="620" w:hanging="614"/>
        <w:spacing w:after="0"/>
        <w:tabs>
          <w:tab w:leader="none" w:pos="620"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Declaration of Dividends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6" w:lineRule="auto"/>
        <w:rPr>
          <w:rFonts w:ascii="Arial" w:cs="Arial" w:eastAsia="Arial" w:hAnsi="Arial"/>
          <w:sz w:val="19"/>
          <w:szCs w:val="19"/>
          <w:color w:val="auto"/>
        </w:rPr>
      </w:pPr>
      <w:r>
        <w:rPr>
          <w:rFonts w:ascii="Arial" w:cs="Arial" w:eastAsia="Arial" w:hAnsi="Arial"/>
          <w:sz w:val="19"/>
          <w:szCs w:val="19"/>
          <w:color w:val="auto"/>
        </w:rPr>
        <w:t>The Board of Directors may from time to time declare, and cause the Company to pay dividends as permitted by the Companies Law. The Board of Directors shall determine the time for payment of such dividends and the record date for determining the shareholders entitled thereto.</w:t>
      </w:r>
    </w:p>
    <w:p>
      <w:pPr>
        <w:spacing w:after="0" w:line="39" w:lineRule="exact"/>
        <w:rPr>
          <w:rFonts w:ascii="Arial" w:cs="Arial" w:eastAsia="Arial" w:hAnsi="Arial"/>
          <w:sz w:val="19"/>
          <w:szCs w:val="19"/>
          <w:color w:val="auto"/>
        </w:rPr>
      </w:pPr>
    </w:p>
    <w:p>
      <w:pPr>
        <w:ind w:left="620" w:hanging="614"/>
        <w:spacing w:after="0"/>
        <w:tabs>
          <w:tab w:leader="none" w:pos="620"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Amount Payable by Way of Dividends</w:t>
      </w:r>
      <w:r>
        <w:rPr>
          <w:rFonts w:ascii="Arial" w:cs="Arial" w:eastAsia="Arial" w:hAnsi="Arial"/>
          <w:sz w:val="19"/>
          <w:szCs w:val="19"/>
          <w:color w:val="auto"/>
        </w:rPr>
        <w:t>.</w:t>
      </w:r>
    </w:p>
    <w:p>
      <w:pPr>
        <w:spacing w:after="0" w:line="79" w:lineRule="exact"/>
        <w:rPr>
          <w:sz w:val="20"/>
          <w:szCs w:val="20"/>
          <w:color w:val="auto"/>
        </w:rPr>
      </w:pPr>
    </w:p>
    <w:p>
      <w:pPr>
        <w:jc w:val="both"/>
        <w:ind w:left="640"/>
        <w:spacing w:after="0" w:line="217" w:lineRule="auto"/>
        <w:rPr>
          <w:sz w:val="20"/>
          <w:szCs w:val="20"/>
          <w:color w:val="auto"/>
        </w:rPr>
      </w:pPr>
      <w:r>
        <w:rPr>
          <w:rFonts w:ascii="Arial" w:cs="Arial" w:eastAsia="Arial" w:hAnsi="Arial"/>
          <w:sz w:val="19"/>
          <w:szCs w:val="19"/>
          <w:color w:val="auto"/>
        </w:rPr>
        <w:t xml:space="preserve">Subject to the provisions of these Articles and subject to the rights or conditions attached at that time to any share in the capital of the Company granting preferential, special or deferred rights or not granting any rights with respect to dividends, any dividend paid by the Company shall be allocated among the Shareholders (not in default in payment of any sum referred to in Article 14 hereof) entitled thereto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in proportion to their respective holdings of the issued and outstanding shares of the Company in respect of which such dividends are being paid.</w:t>
      </w:r>
    </w:p>
    <w:p>
      <w:pPr>
        <w:spacing w:after="0" w:line="40" w:lineRule="exact"/>
        <w:rPr>
          <w:sz w:val="20"/>
          <w:szCs w:val="20"/>
          <w:color w:val="auto"/>
        </w:rPr>
      </w:pPr>
    </w:p>
    <w:p>
      <w:pPr>
        <w:ind w:left="620" w:hanging="614"/>
        <w:spacing w:after="0"/>
        <w:tabs>
          <w:tab w:leader="none" w:pos="62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Interest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No dividend shall carry interest as against the Company.</w:t>
      </w:r>
    </w:p>
    <w:p>
      <w:pPr>
        <w:spacing w:after="0" w:line="67" w:lineRule="exact"/>
        <w:rPr>
          <w:rFonts w:ascii="Arial" w:cs="Arial" w:eastAsia="Arial" w:hAnsi="Arial"/>
          <w:sz w:val="19"/>
          <w:szCs w:val="19"/>
          <w:color w:val="auto"/>
        </w:rPr>
      </w:pPr>
    </w:p>
    <w:p>
      <w:pPr>
        <w:ind w:left="620" w:hanging="614"/>
        <w:spacing w:after="0"/>
        <w:tabs>
          <w:tab w:leader="none" w:pos="62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in Specie</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right="20"/>
        <w:spacing w:after="0" w:line="220" w:lineRule="auto"/>
        <w:rPr>
          <w:rFonts w:ascii="Arial" w:cs="Arial" w:eastAsia="Arial" w:hAnsi="Arial"/>
          <w:sz w:val="19"/>
          <w:szCs w:val="19"/>
          <w:color w:val="auto"/>
        </w:rPr>
      </w:pPr>
      <w:r>
        <w:rPr>
          <w:rFonts w:ascii="Arial" w:cs="Arial" w:eastAsia="Arial" w:hAnsi="Arial"/>
          <w:sz w:val="19"/>
          <w:szCs w:val="19"/>
          <w:color w:val="auto"/>
        </w:rPr>
        <w:t>If so declared by the Board of Directors, a dividend declared in accordance with Article 51 may be paid, in whole or in part, by the distribution of specific assets of the Company or by distribution of paid up shares, debentures or other securities of the Company or of any other companies, or in any combination thereof, in each case, the fair value of which shall be determined by the Board of Directors in good faith.</w:t>
      </w:r>
    </w:p>
    <w:p>
      <w:pPr>
        <w:spacing w:after="0" w:line="40" w:lineRule="exact"/>
        <w:rPr>
          <w:rFonts w:ascii="Arial" w:cs="Arial" w:eastAsia="Arial" w:hAnsi="Arial"/>
          <w:sz w:val="19"/>
          <w:szCs w:val="19"/>
          <w:color w:val="auto"/>
        </w:rPr>
      </w:pPr>
    </w:p>
    <w:p>
      <w:pPr>
        <w:ind w:left="620" w:hanging="614"/>
        <w:spacing w:after="0"/>
        <w:tabs>
          <w:tab w:leader="none" w:pos="62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Implementation of Powers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15" w:lineRule="auto"/>
        <w:rPr>
          <w:rFonts w:ascii="Arial" w:cs="Arial" w:eastAsia="Arial" w:hAnsi="Arial"/>
          <w:sz w:val="19"/>
          <w:szCs w:val="19"/>
          <w:color w:val="auto"/>
        </w:rPr>
      </w:pPr>
      <w:r>
        <w:rPr>
          <w:rFonts w:ascii="Arial" w:cs="Arial" w:eastAsia="Arial" w:hAnsi="Arial"/>
          <w:sz w:val="19"/>
          <w:szCs w:val="19"/>
          <w:color w:val="auto"/>
        </w:rPr>
        <w:t>The Board of Directors may settle, as it deems fit, any difficulty arising with regard to the distribution of dividends, bonus shares or otherwise, and in particular, to issue certificates for fractions of shares and sell such fractions of shares in order to pay their consideration to those entitled thereto, or to set the value for the distribution of certain assets and to determine that cash payments shall be paid to the Shareholders on the basis of such value, or that fractions whose value is less than NIS 0.01 shall not be taken into account. The Board of Directors may instruct to pay cash or convey these certain assets to a trustee in favor of those people who are entitled to a dividend, as the Board of Directors shall deem appropriate.</w:t>
      </w:r>
    </w:p>
    <w:p>
      <w:pPr>
        <w:spacing w:after="0" w:line="38" w:lineRule="exact"/>
        <w:rPr>
          <w:rFonts w:ascii="Arial" w:cs="Arial" w:eastAsia="Arial" w:hAnsi="Arial"/>
          <w:sz w:val="19"/>
          <w:szCs w:val="19"/>
          <w:color w:val="auto"/>
        </w:rPr>
      </w:pPr>
    </w:p>
    <w:p>
      <w:pPr>
        <w:ind w:left="620" w:hanging="614"/>
        <w:spacing w:after="0"/>
        <w:tabs>
          <w:tab w:leader="none" w:pos="62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Deductions from Dividends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6" w:lineRule="auto"/>
        <w:rPr>
          <w:rFonts w:ascii="Arial" w:cs="Arial" w:eastAsia="Arial" w:hAnsi="Arial"/>
          <w:sz w:val="19"/>
          <w:szCs w:val="19"/>
          <w:color w:val="auto"/>
        </w:rPr>
      </w:pPr>
      <w:r>
        <w:rPr>
          <w:rFonts w:ascii="Arial" w:cs="Arial" w:eastAsia="Arial" w:hAnsi="Arial"/>
          <w:sz w:val="19"/>
          <w:szCs w:val="19"/>
          <w:color w:val="auto"/>
        </w:rPr>
        <w:t>The Board of Directors may deduct from any dividend or other moneys payable to any Shareholder in respect of a share any and all sums of money then payable by him or her to the Company on account of calls or otherwise in respect of shares of the Company and/or on account of any other matter of transaction whatsoever.</w:t>
      </w:r>
    </w:p>
    <w:p>
      <w:pPr>
        <w:spacing w:after="0" w:line="39" w:lineRule="exact"/>
        <w:rPr>
          <w:rFonts w:ascii="Arial" w:cs="Arial" w:eastAsia="Arial" w:hAnsi="Arial"/>
          <w:sz w:val="19"/>
          <w:szCs w:val="19"/>
          <w:color w:val="auto"/>
        </w:rPr>
      </w:pPr>
    </w:p>
    <w:p>
      <w:pPr>
        <w:ind w:left="620" w:hanging="614"/>
        <w:spacing w:after="0"/>
        <w:tabs>
          <w:tab w:leader="none" w:pos="62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Retention of Dividends</w:t>
      </w:r>
      <w:r>
        <w:rPr>
          <w:rFonts w:ascii="Arial" w:cs="Arial" w:eastAsia="Arial" w:hAnsi="Arial"/>
          <w:sz w:val="19"/>
          <w:szCs w:val="19"/>
          <w:u w:val="single" w:color="auto"/>
          <w:color w:val="auto"/>
        </w:rPr>
        <w:t>.</w:t>
      </w:r>
    </w:p>
    <w:p>
      <w:pPr>
        <w:spacing w:after="0" w:line="79" w:lineRule="exact"/>
        <w:rPr>
          <w:rFonts w:ascii="Arial" w:cs="Arial" w:eastAsia="Arial" w:hAnsi="Arial"/>
          <w:sz w:val="19"/>
          <w:szCs w:val="19"/>
          <w:color w:val="auto"/>
        </w:rPr>
      </w:pPr>
    </w:p>
    <w:p>
      <w:pPr>
        <w:jc w:val="both"/>
        <w:ind w:left="640" w:hanging="9"/>
        <w:spacing w:after="0" w:line="226" w:lineRule="auto"/>
        <w:tabs>
          <w:tab w:leader="none" w:pos="1269"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45" w:lineRule="exact"/>
        <w:rPr>
          <w:rFonts w:ascii="Arial" w:cs="Arial" w:eastAsia="Arial" w:hAnsi="Arial"/>
          <w:sz w:val="19"/>
          <w:szCs w:val="19"/>
          <w:color w:val="auto"/>
        </w:rPr>
      </w:pPr>
    </w:p>
    <w:p>
      <w:pPr>
        <w:jc w:val="both"/>
        <w:ind w:left="640" w:hanging="9"/>
        <w:spacing w:after="0" w:line="238" w:lineRule="auto"/>
        <w:tabs>
          <w:tab w:leader="none" w:pos="126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Board of Directors may retain any dividend or other moneys payable or property distributable in respect of a share in respect of which any person is, under Articles 22 or 23, entitled to become a Shareholder, or which any person is, under said Articles, entitled to transfer, until such person shall become a Shareholder in respect of such share or shall transfer the same.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hanging="88"/>
        <w:spacing w:after="0"/>
        <w:tabs>
          <w:tab w:leader="none" w:pos="554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24 -</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8" w:lineRule="exact"/>
        <w:rPr>
          <w:sz w:val="20"/>
          <w:szCs w:val="20"/>
          <w:color w:val="auto"/>
        </w:rPr>
      </w:pPr>
    </w:p>
    <w:p>
      <w:pPr>
        <w:ind w:left="620" w:hanging="614"/>
        <w:spacing w:after="0"/>
        <w:tabs>
          <w:tab w:leader="none" w:pos="620" w:val="left"/>
        </w:tabs>
        <w:numPr>
          <w:ilvl w:val="0"/>
          <w:numId w:val="142"/>
        </w:numPr>
        <w:rPr>
          <w:rFonts w:ascii="Arial" w:cs="Arial" w:eastAsia="Arial" w:hAnsi="Arial"/>
          <w:sz w:val="19"/>
          <w:szCs w:val="19"/>
          <w:color w:val="auto"/>
        </w:rPr>
      </w:pPr>
      <w:r>
        <w:rPr>
          <w:rFonts w:ascii="Arial" w:cs="Arial" w:eastAsia="Arial" w:hAnsi="Arial"/>
          <w:sz w:val="19"/>
          <w:szCs w:val="19"/>
          <w:b w:val="1"/>
          <w:bCs w:val="1"/>
          <w:u w:val="single" w:color="auto"/>
          <w:color w:val="auto"/>
        </w:rPr>
        <w:t>Unclaimed Dividends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4" w:lineRule="auto"/>
        <w:rPr>
          <w:rFonts w:ascii="Arial" w:cs="Arial" w:eastAsia="Arial" w:hAnsi="Arial"/>
          <w:sz w:val="19"/>
          <w:szCs w:val="19"/>
          <w:color w:val="auto"/>
        </w:rPr>
      </w:pPr>
      <w:r>
        <w:rPr>
          <w:rFonts w:ascii="Arial" w:cs="Arial" w:eastAsia="Arial" w:hAnsi="Arial"/>
          <w:sz w:val="18"/>
          <w:szCs w:val="18"/>
          <w:color w:val="auto"/>
        </w:rPr>
        <w:t>All unclaimed dividends or other moneys payable in respect of a share may be invested or otherwise made use of by the Board of Directors for the benefit of the Company until claimed. The payment of any unclaimed dividend or such other moneys into a separate account shall not constitute the Company a trustee in respect thereof, and any dividend unclaimed after a period of one (1) year (or such other period determined by the Board of Directors)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 The principal (and only the principal) of any unclaimed dividend of such other moneys shall be if claimed, paid to a person entitled thereto.</w:t>
      </w:r>
    </w:p>
    <w:p>
      <w:pPr>
        <w:spacing w:after="0" w:line="38" w:lineRule="exact"/>
        <w:rPr>
          <w:rFonts w:ascii="Arial" w:cs="Arial" w:eastAsia="Arial" w:hAnsi="Arial"/>
          <w:sz w:val="19"/>
          <w:szCs w:val="19"/>
          <w:color w:val="auto"/>
        </w:rPr>
      </w:pPr>
    </w:p>
    <w:p>
      <w:pPr>
        <w:ind w:left="620" w:hanging="614"/>
        <w:spacing w:after="0"/>
        <w:tabs>
          <w:tab w:leader="none" w:pos="620" w:val="left"/>
        </w:tabs>
        <w:numPr>
          <w:ilvl w:val="0"/>
          <w:numId w:val="142"/>
        </w:numPr>
        <w:rPr>
          <w:rFonts w:ascii="Arial" w:cs="Arial" w:eastAsia="Arial" w:hAnsi="Arial"/>
          <w:sz w:val="19"/>
          <w:szCs w:val="19"/>
          <w:color w:val="auto"/>
        </w:rPr>
      </w:pPr>
      <w:r>
        <w:rPr>
          <w:rFonts w:ascii="Arial" w:cs="Arial" w:eastAsia="Arial" w:hAnsi="Arial"/>
          <w:sz w:val="19"/>
          <w:szCs w:val="19"/>
          <w:b w:val="1"/>
          <w:bCs w:val="1"/>
          <w:u w:val="single" w:color="auto"/>
          <w:color w:val="auto"/>
        </w:rPr>
        <w:t>Mechanics of Payment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09" w:lineRule="auto"/>
        <w:rPr>
          <w:rFonts w:ascii="Arial" w:cs="Arial" w:eastAsia="Arial" w:hAnsi="Arial"/>
          <w:sz w:val="19"/>
          <w:szCs w:val="19"/>
          <w:color w:val="auto"/>
        </w:rPr>
      </w:pPr>
      <w:r>
        <w:rPr>
          <w:rFonts w:ascii="Arial" w:cs="Arial" w:eastAsia="Arial" w:hAnsi="Arial"/>
          <w:sz w:val="19"/>
          <w:szCs w:val="19"/>
          <w:color w:val="auto"/>
        </w:rPr>
        <w:t>Any dividend or other moneys payable in cash in respect of a share, less the tax required to be withheld pursuant to applicable law, may, as determined by the Board of Directors in its sole discretion,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of such Persons or his or her bank account or the person who the Company may then recognize as the owner thereof or entitled thereto under Article 22 or 23 hereof, as applicable, or such person’s bank account), or to such person and at such other address as the person entitled thereto may by writing direct, or in any other manner the Board of Directors deems appropriate. Every such check or warrant or other method of payment shall be made payable to the order of the person to whom it is sent, or to such person as the person entitled thereto as aforesaid may direct, and payment of the check or warrant by the banker upon whom it is drawn shall be a good discharge to the Company. Every such check shall be sent at the risk of the Person entitled to the money represented thereby.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Accounts</w:t>
      </w:r>
    </w:p>
    <w:p>
      <w:pPr>
        <w:spacing w:after="0" w:line="73" w:lineRule="exact"/>
        <w:rPr>
          <w:sz w:val="20"/>
          <w:szCs w:val="20"/>
          <w:color w:val="auto"/>
        </w:rPr>
      </w:pPr>
    </w:p>
    <w:p>
      <w:pPr>
        <w:ind w:left="620" w:hanging="614"/>
        <w:spacing w:after="0"/>
        <w:tabs>
          <w:tab w:leader="none" w:pos="620" w:val="left"/>
        </w:tabs>
        <w:numPr>
          <w:ilvl w:val="0"/>
          <w:numId w:val="143"/>
        </w:numPr>
        <w:rPr>
          <w:rFonts w:ascii="Arial" w:cs="Arial" w:eastAsia="Arial" w:hAnsi="Arial"/>
          <w:sz w:val="19"/>
          <w:szCs w:val="19"/>
          <w:color w:val="auto"/>
        </w:rPr>
      </w:pPr>
      <w:r>
        <w:rPr>
          <w:rFonts w:ascii="Arial" w:cs="Arial" w:eastAsia="Arial" w:hAnsi="Arial"/>
          <w:sz w:val="19"/>
          <w:szCs w:val="19"/>
          <w:b w:val="1"/>
          <w:bCs w:val="1"/>
          <w:u w:val="single" w:color="auto"/>
          <w:color w:val="auto"/>
        </w:rPr>
        <w:t>Books of Account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15" w:lineRule="auto"/>
        <w:rPr>
          <w:rFonts w:ascii="Arial" w:cs="Arial" w:eastAsia="Arial" w:hAnsi="Arial"/>
          <w:sz w:val="19"/>
          <w:szCs w:val="19"/>
          <w:color w:val="auto"/>
        </w:rPr>
      </w:pPr>
      <w:r>
        <w:rPr>
          <w:rFonts w:ascii="Arial" w:cs="Arial" w:eastAsia="Arial" w:hAnsi="Arial"/>
          <w:sz w:val="19"/>
          <w:szCs w:val="19"/>
          <w:color w:val="auto"/>
        </w:rPr>
        <w:t>The Company's books of account shall be kept at the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explicitly conferred by law or authorized by the Board of Directors. The Company shall make copies of its annual financial statements available for inspection by the Shareholders at the principal offices of the Company. The Company shall not be required to send copies of its annual financial statements to the Shareholders.</w:t>
      </w:r>
    </w:p>
    <w:p>
      <w:pPr>
        <w:spacing w:after="0" w:line="38" w:lineRule="exact"/>
        <w:rPr>
          <w:rFonts w:ascii="Arial" w:cs="Arial" w:eastAsia="Arial" w:hAnsi="Arial"/>
          <w:sz w:val="19"/>
          <w:szCs w:val="19"/>
          <w:color w:val="auto"/>
        </w:rPr>
      </w:pPr>
    </w:p>
    <w:p>
      <w:pPr>
        <w:ind w:left="620" w:hanging="614"/>
        <w:spacing w:after="0"/>
        <w:tabs>
          <w:tab w:leader="none" w:pos="620" w:val="left"/>
        </w:tabs>
        <w:numPr>
          <w:ilvl w:val="0"/>
          <w:numId w:val="143"/>
        </w:numPr>
        <w:rPr>
          <w:rFonts w:ascii="Arial" w:cs="Arial" w:eastAsia="Arial" w:hAnsi="Arial"/>
          <w:sz w:val="19"/>
          <w:szCs w:val="19"/>
          <w:color w:val="auto"/>
        </w:rPr>
      </w:pPr>
      <w:r>
        <w:rPr>
          <w:rFonts w:ascii="Arial" w:cs="Arial" w:eastAsia="Arial" w:hAnsi="Arial"/>
          <w:sz w:val="19"/>
          <w:szCs w:val="19"/>
          <w:b w:val="1"/>
          <w:bCs w:val="1"/>
          <w:u w:val="single" w:color="auto"/>
          <w:color w:val="auto"/>
        </w:rPr>
        <w:t>Auditors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38" w:lineRule="auto"/>
        <w:rPr>
          <w:rFonts w:ascii="Arial" w:cs="Arial" w:eastAsia="Arial" w:hAnsi="Arial"/>
          <w:sz w:val="19"/>
          <w:szCs w:val="19"/>
          <w:color w:val="auto"/>
        </w:rPr>
      </w:pPr>
      <w:r>
        <w:rPr>
          <w:rFonts w:ascii="Arial" w:cs="Arial" w:eastAsia="Arial" w:hAnsi="Arial"/>
          <w:sz w:val="17"/>
          <w:szCs w:val="17"/>
          <w:color w:val="auto"/>
        </w:rPr>
        <w:t>The appointment, authorities, rights and duties of the auditor(s) of the Company, shall be regulated by applicable law, provided, however, that in exercising its authority to fix the remuneration of the auditor(s), the Shareholders in General Meeting may act (and in the absence of any action in connection therewith shall be deemed to have so acted) to authorize the Board of Directors (with right of delegation to a Committee thereof or to management) to fix such remuneration subject to such criteria or standards, and if no such criteria or standards are so provided, such remuneration shall be fixed in an amount commensurate with the volume and nature of the services rendered by such auditor(s). The General Meeting may, if so recommended by the Board of Directors, appoint the auditors for a period that may extend until the third Annual General Meeting after the Annual General Meeting in which the auditors were appointed.</w:t>
      </w:r>
    </w:p>
    <w:p>
      <w:pPr>
        <w:spacing w:after="0" w:line="41" w:lineRule="exact"/>
        <w:rPr>
          <w:rFonts w:ascii="Arial" w:cs="Arial" w:eastAsia="Arial" w:hAnsi="Arial"/>
          <w:sz w:val="19"/>
          <w:szCs w:val="19"/>
          <w:color w:val="auto"/>
        </w:rPr>
      </w:pPr>
    </w:p>
    <w:p>
      <w:pPr>
        <w:ind w:left="620" w:hanging="614"/>
        <w:spacing w:after="0"/>
        <w:tabs>
          <w:tab w:leader="none" w:pos="620" w:val="left"/>
        </w:tabs>
        <w:numPr>
          <w:ilvl w:val="0"/>
          <w:numId w:val="143"/>
        </w:numPr>
        <w:rPr>
          <w:rFonts w:ascii="Arial" w:cs="Arial" w:eastAsia="Arial" w:hAnsi="Arial"/>
          <w:sz w:val="19"/>
          <w:szCs w:val="19"/>
          <w:color w:val="auto"/>
        </w:rPr>
      </w:pPr>
      <w:r>
        <w:rPr>
          <w:rFonts w:ascii="Arial" w:cs="Arial" w:eastAsia="Arial" w:hAnsi="Arial"/>
          <w:sz w:val="19"/>
          <w:szCs w:val="19"/>
          <w:b w:val="1"/>
          <w:bCs w:val="1"/>
          <w:u w:val="single" w:color="auto"/>
          <w:color w:val="auto"/>
        </w:rPr>
        <w:t>Fiscal Year</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The fiscal year of the Company shall be determined by the Board of Directors.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Supplementary Registers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8" w:lineRule="exact"/>
        <w:rPr>
          <w:sz w:val="20"/>
          <w:szCs w:val="20"/>
          <w:color w:val="auto"/>
        </w:rPr>
      </w:pPr>
    </w:p>
    <w:p>
      <w:pPr>
        <w:ind w:left="620" w:hanging="614"/>
        <w:spacing w:after="0"/>
        <w:tabs>
          <w:tab w:leader="none" w:pos="620" w:val="left"/>
        </w:tabs>
        <w:numPr>
          <w:ilvl w:val="0"/>
          <w:numId w:val="144"/>
        </w:numPr>
        <w:rPr>
          <w:rFonts w:ascii="Arial" w:cs="Arial" w:eastAsia="Arial" w:hAnsi="Arial"/>
          <w:sz w:val="19"/>
          <w:szCs w:val="19"/>
          <w:color w:val="auto"/>
        </w:rPr>
      </w:pPr>
      <w:r>
        <w:rPr>
          <w:rFonts w:ascii="Arial" w:cs="Arial" w:eastAsia="Arial" w:hAnsi="Arial"/>
          <w:sz w:val="19"/>
          <w:szCs w:val="19"/>
          <w:b w:val="1"/>
          <w:bCs w:val="1"/>
          <w:u w:val="single" w:color="auto"/>
          <w:color w:val="auto"/>
        </w:rPr>
        <w:t>Supplementary Registers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0" w:lineRule="auto"/>
        <w:rPr>
          <w:rFonts w:ascii="Arial" w:cs="Arial" w:eastAsia="Arial" w:hAnsi="Arial"/>
          <w:sz w:val="19"/>
          <w:szCs w:val="19"/>
          <w:color w:val="auto"/>
        </w:rPr>
      </w:pPr>
      <w:r>
        <w:rPr>
          <w:rFonts w:ascii="Arial" w:cs="Arial" w:eastAsia="Arial" w:hAnsi="Arial"/>
          <w:sz w:val="19"/>
          <w:szCs w:val="19"/>
          <w:color w:val="auto"/>
        </w:rPr>
        <w:t>Subject to and in accordance with the provisions of Sections 138 and 139 of the Companies Law, the Company may cause supplementary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Exemption, Indemnity and Insurance</w:t>
      </w:r>
    </w:p>
    <w:p>
      <w:pPr>
        <w:spacing w:after="0" w:line="73" w:lineRule="exact"/>
        <w:rPr>
          <w:sz w:val="20"/>
          <w:szCs w:val="20"/>
          <w:color w:val="auto"/>
        </w:rPr>
      </w:pPr>
    </w:p>
    <w:p>
      <w:pPr>
        <w:ind w:left="620" w:hanging="614"/>
        <w:spacing w:after="0"/>
        <w:tabs>
          <w:tab w:leader="none" w:pos="620" w:val="left"/>
        </w:tabs>
        <w:numPr>
          <w:ilvl w:val="0"/>
          <w:numId w:val="145"/>
        </w:numPr>
        <w:rPr>
          <w:rFonts w:ascii="Arial" w:cs="Arial" w:eastAsia="Arial" w:hAnsi="Arial"/>
          <w:sz w:val="19"/>
          <w:szCs w:val="19"/>
          <w:color w:val="auto"/>
        </w:rPr>
      </w:pP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0" w:lineRule="auto"/>
        <w:rPr>
          <w:rFonts w:ascii="Arial" w:cs="Arial" w:eastAsia="Arial" w:hAnsi="Arial"/>
          <w:sz w:val="19"/>
          <w:szCs w:val="19"/>
          <w:color w:val="auto"/>
        </w:rPr>
      </w:pPr>
      <w:r>
        <w:rPr>
          <w:rFonts w:ascii="Arial" w:cs="Arial" w:eastAsia="Arial" w:hAnsi="Arial"/>
          <w:sz w:val="19"/>
          <w:szCs w:val="19"/>
          <w:color w:val="auto"/>
        </w:rPr>
        <w:t>Subject to the provisions of the Companies Law with regard to such matters, the Company may enter into a contract for the 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spacing w:after="0" w:line="46" w:lineRule="exact"/>
        <w:rPr>
          <w:rFonts w:ascii="Arial" w:cs="Arial" w:eastAsia="Arial" w:hAnsi="Arial"/>
          <w:sz w:val="19"/>
          <w:szCs w:val="19"/>
          <w:color w:val="auto"/>
        </w:rPr>
      </w:pPr>
    </w:p>
    <w:p>
      <w:pPr>
        <w:ind w:left="1280" w:hanging="649"/>
        <w:spacing w:after="0"/>
        <w:tabs>
          <w:tab w:leader="none" w:pos="128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 breach of duty of care to the Company or to any other person;</w:t>
      </w:r>
    </w:p>
    <w:p>
      <w:pPr>
        <w:spacing w:after="0" w:line="73" w:lineRule="exact"/>
        <w:rPr>
          <w:rFonts w:ascii="Arial" w:cs="Arial" w:eastAsia="Arial" w:hAnsi="Arial"/>
          <w:sz w:val="19"/>
          <w:szCs w:val="19"/>
          <w:color w:val="auto"/>
        </w:rPr>
      </w:pPr>
    </w:p>
    <w:p>
      <w:pPr>
        <w:ind w:left="640" w:hanging="9"/>
        <w:spacing w:after="0" w:line="237" w:lineRule="auto"/>
        <w:tabs>
          <w:tab w:leader="none" w:pos="1266"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 breach of his or her duty of loyalty to the Company, provided that the Office Holder acted in good faith and had reasonable grounds to assume that act that resulted in such breach would not prejudice the interests of the Company;</w:t>
      </w:r>
    </w:p>
    <w:p>
      <w:pPr>
        <w:spacing w:after="0" w:line="45" w:lineRule="exact"/>
        <w:rPr>
          <w:rFonts w:ascii="Arial" w:cs="Arial" w:eastAsia="Arial" w:hAnsi="Arial"/>
          <w:sz w:val="19"/>
          <w:szCs w:val="19"/>
          <w:color w:val="auto"/>
        </w:rPr>
      </w:pPr>
    </w:p>
    <w:p>
      <w:pPr>
        <w:ind w:left="1280" w:hanging="649"/>
        <w:spacing w:after="0"/>
        <w:tabs>
          <w:tab w:leader="none" w:pos="128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 financial liability imposed on such Office Holder in favor of any other person; and</w:t>
      </w:r>
    </w:p>
    <w:p>
      <w:pPr>
        <w:spacing w:after="0" w:line="73" w:lineRule="exact"/>
        <w:rPr>
          <w:rFonts w:ascii="Arial" w:cs="Arial" w:eastAsia="Arial" w:hAnsi="Arial"/>
          <w:sz w:val="19"/>
          <w:szCs w:val="19"/>
          <w:color w:val="auto"/>
        </w:rPr>
      </w:pPr>
    </w:p>
    <w:p>
      <w:pPr>
        <w:jc w:val="both"/>
        <w:ind w:left="640" w:hanging="9"/>
        <w:spacing w:after="0" w:line="248" w:lineRule="auto"/>
        <w:tabs>
          <w:tab w:leader="none" w:pos="126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any other event, occurrence, matters or circumstances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56h(b)(1) of the Securities Law, if and to the extent applicable, and Section 50P of the Economic Competition Law).</w:t>
      </w:r>
    </w:p>
    <w:p>
      <w:pPr>
        <w:spacing w:after="0" w:line="34" w:lineRule="exact"/>
        <w:rPr>
          <w:rFonts w:ascii="Arial" w:cs="Arial" w:eastAsia="Arial" w:hAnsi="Arial"/>
          <w:sz w:val="17"/>
          <w:szCs w:val="17"/>
          <w:color w:val="auto"/>
        </w:rPr>
      </w:pPr>
    </w:p>
    <w:p>
      <w:pPr>
        <w:ind w:left="620" w:hanging="614"/>
        <w:spacing w:after="0"/>
        <w:tabs>
          <w:tab w:leader="none" w:pos="620" w:val="left"/>
        </w:tabs>
        <w:numPr>
          <w:ilvl w:val="0"/>
          <w:numId w:val="145"/>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Indemnity</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32" w:lineRule="auto"/>
        <w:tabs>
          <w:tab w:leader="none" w:pos="126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retroactively indemnify an Office Holder of the Company to the maximum extent permitted under applicable law, including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p>
      <w:pPr>
        <w:spacing w:after="0" w:line="47" w:lineRule="exact"/>
        <w:rPr>
          <w:rFonts w:ascii="Arial" w:cs="Arial" w:eastAsia="Arial" w:hAnsi="Arial"/>
          <w:sz w:val="18"/>
          <w:szCs w:val="18"/>
          <w:color w:val="auto"/>
        </w:rPr>
      </w:pPr>
    </w:p>
    <w:p>
      <w:pPr>
        <w:ind w:left="1280" w:hanging="2"/>
        <w:spacing w:after="0" w:line="237" w:lineRule="auto"/>
        <w:tabs>
          <w:tab w:leader="none" w:pos="1914" w:val="left"/>
        </w:tabs>
        <w:numPr>
          <w:ilvl w:val="2"/>
          <w:numId w:val="145"/>
        </w:numPr>
        <w:rPr>
          <w:rFonts w:ascii="Arial" w:cs="Arial" w:eastAsia="Arial" w:hAnsi="Arial"/>
          <w:sz w:val="19"/>
          <w:szCs w:val="19"/>
          <w:color w:val="auto"/>
        </w:rPr>
      </w:pPr>
      <w:r>
        <w:rPr>
          <w:rFonts w:ascii="Arial" w:cs="Arial" w:eastAsia="Arial" w:hAnsi="Arial"/>
          <w:sz w:val="19"/>
          <w:szCs w:val="19"/>
          <w:color w:val="auto"/>
        </w:rPr>
        <w:t>a financial liability imposed on an Office Holder in favor of another person by any court judgment, including a judgment given as a result of a settlement or an arbitrator’s award which has been confirmed by a court;</w:t>
      </w:r>
    </w:p>
    <w:p>
      <w:pPr>
        <w:spacing w:after="0" w:line="45" w:lineRule="exact"/>
        <w:rPr>
          <w:rFonts w:ascii="Arial" w:cs="Arial" w:eastAsia="Arial" w:hAnsi="Arial"/>
          <w:sz w:val="19"/>
          <w:szCs w:val="19"/>
          <w:color w:val="auto"/>
        </w:rPr>
      </w:pPr>
    </w:p>
    <w:p>
      <w:pPr>
        <w:jc w:val="both"/>
        <w:ind w:left="1280" w:hanging="2"/>
        <w:spacing w:after="0" w:line="226" w:lineRule="auto"/>
        <w:tabs>
          <w:tab w:leader="none" w:pos="1915" w:val="left"/>
        </w:tabs>
        <w:numPr>
          <w:ilvl w:val="2"/>
          <w:numId w:val="145"/>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expended by the Office Holder as a result of an investigation or proceeding instituted against him or her by an authority authorized to conduct such investigation or proceeding, or in connection with a financial sanction, provided that (1) no indictment (as defined in the Companies Law) was filed against such Office Holder as a result of such investigation or proceeding; and (2) no financial liability in lieu of a criminal proceeding (as defined in the Companies Law) was imposed upon him or her as a result of such investigation or proceeding or if such financial liability was imposed, it was imposed with respect to an offense that does not require proof of criminal intent;</w:t>
      </w:r>
    </w:p>
    <w:p>
      <w:pPr>
        <w:spacing w:after="0" w:line="49" w:lineRule="exact"/>
        <w:rPr>
          <w:rFonts w:ascii="Arial" w:cs="Arial" w:eastAsia="Arial" w:hAnsi="Arial"/>
          <w:sz w:val="18"/>
          <w:szCs w:val="18"/>
          <w:color w:val="auto"/>
        </w:rPr>
      </w:pPr>
    </w:p>
    <w:p>
      <w:pPr>
        <w:jc w:val="both"/>
        <w:ind w:left="1280" w:hanging="2"/>
        <w:spacing w:after="0" w:line="220" w:lineRule="auto"/>
        <w:tabs>
          <w:tab w:leader="none" w:pos="1916" w:val="left"/>
        </w:tabs>
        <w:numPr>
          <w:ilvl w:val="2"/>
          <w:numId w:val="145"/>
        </w:numPr>
        <w:rPr>
          <w:rFonts w:ascii="Arial" w:cs="Arial" w:eastAsia="Arial" w:hAnsi="Arial"/>
          <w:sz w:val="19"/>
          <w:szCs w:val="19"/>
          <w:color w:val="auto"/>
        </w:rPr>
      </w:pPr>
      <w:r>
        <w:rPr>
          <w:rFonts w:ascii="Arial" w:cs="Arial" w:eastAsia="Arial" w:hAnsi="Arial"/>
          <w:sz w:val="19"/>
          <w:szCs w:val="19"/>
          <w:color w:val="auto"/>
        </w:rPr>
        <w:t>reasonable litigation costs, including legal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 and</w:t>
      </w:r>
    </w:p>
    <w:p>
      <w:pPr>
        <w:spacing w:after="0" w:line="46" w:lineRule="exact"/>
        <w:rPr>
          <w:rFonts w:ascii="Arial" w:cs="Arial" w:eastAsia="Arial" w:hAnsi="Arial"/>
          <w:sz w:val="19"/>
          <w:szCs w:val="19"/>
          <w:color w:val="auto"/>
        </w:rPr>
      </w:pPr>
    </w:p>
    <w:p>
      <w:pPr>
        <w:jc w:val="both"/>
        <w:ind w:left="1280" w:hanging="2"/>
        <w:spacing w:after="0" w:line="220" w:lineRule="auto"/>
        <w:tabs>
          <w:tab w:leader="none" w:pos="1905" w:val="left"/>
        </w:tabs>
        <w:numPr>
          <w:ilvl w:val="2"/>
          <w:numId w:val="145"/>
        </w:numPr>
        <w:rPr>
          <w:rFonts w:ascii="Arial" w:cs="Arial" w:eastAsia="Arial" w:hAnsi="Arial"/>
          <w:sz w:val="19"/>
          <w:szCs w:val="19"/>
          <w:color w:val="auto"/>
        </w:rPr>
      </w:pPr>
      <w:r>
        <w:rPr>
          <w:rFonts w:ascii="Arial" w:cs="Arial" w:eastAsia="Arial" w:hAnsi="Arial"/>
          <w:sz w:val="19"/>
          <w:szCs w:val="19"/>
          <w:color w:val="auto"/>
        </w:rPr>
        <w:t>any other event, occurrence, matter or circumstance under any law with respect to which the Company may, or will be able to, indemnify an Office Holder, and to the extent such law requires the inclusion of a provision permitting such indemnity in these Articles, then such provision is deemed to be included and incorporated herein by reference (including, without limitation, in accordance with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0" w:lineRule="exact"/>
        <w:rPr>
          <w:rFonts w:ascii="Arial" w:cs="Arial" w:eastAsia="Arial" w:hAnsi="Arial"/>
          <w:sz w:val="19"/>
          <w:szCs w:val="19"/>
          <w:color w:val="auto"/>
        </w:rPr>
      </w:pPr>
    </w:p>
    <w:p>
      <w:pPr>
        <w:ind w:left="5540" w:hanging="88"/>
        <w:spacing w:after="0"/>
        <w:tabs>
          <w:tab w:leader="none" w:pos="5540" w:val="left"/>
        </w:tabs>
        <w:numPr>
          <w:ilvl w:val="3"/>
          <w:numId w:val="145"/>
        </w:numPr>
        <w:rPr>
          <w:rFonts w:ascii="Arial" w:cs="Arial" w:eastAsia="Arial" w:hAnsi="Arial"/>
          <w:sz w:val="16"/>
          <w:szCs w:val="16"/>
          <w:color w:val="auto"/>
        </w:rPr>
      </w:pPr>
      <w:r>
        <w:rPr>
          <w:rFonts w:ascii="Arial" w:cs="Arial" w:eastAsia="Arial" w:hAnsi="Arial"/>
          <w:sz w:val="16"/>
          <w:szCs w:val="16"/>
          <w:color w:val="auto"/>
        </w:rPr>
        <w:t>26 -</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54"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Section 56h(b)(1) of the Israeli Securities Law, if and to the extent applicable, and Section 50P(b)(2) of the RTP Law).</w:t>
      </w:r>
    </w:p>
    <w:p>
      <w:pPr>
        <w:spacing w:after="0" w:line="73" w:lineRule="exact"/>
        <w:rPr>
          <w:sz w:val="20"/>
          <w:szCs w:val="20"/>
          <w:color w:val="auto"/>
        </w:rPr>
      </w:pPr>
    </w:p>
    <w:p>
      <w:pPr>
        <w:ind w:left="640" w:hanging="9"/>
        <w:spacing w:after="0" w:line="237" w:lineRule="auto"/>
        <w:tabs>
          <w:tab w:leader="none" w:pos="126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Subject to the provisions of the Companies Law, the Company may undertake to indemnify an Office Holder, in advance, with respect to those liabilities and expenses described in the following Articles:</w:t>
      </w:r>
    </w:p>
    <w:p>
      <w:pPr>
        <w:spacing w:after="0" w:line="45" w:lineRule="exact"/>
        <w:rPr>
          <w:rFonts w:ascii="Arial" w:cs="Arial" w:eastAsia="Arial" w:hAnsi="Arial"/>
          <w:sz w:val="19"/>
          <w:szCs w:val="19"/>
          <w:color w:val="auto"/>
        </w:rPr>
      </w:pPr>
    </w:p>
    <w:p>
      <w:pPr>
        <w:ind w:left="1920" w:hanging="642"/>
        <w:spacing w:after="0"/>
        <w:tabs>
          <w:tab w:leader="none" w:pos="1920" w:val="left"/>
        </w:tabs>
        <w:numPr>
          <w:ilvl w:val="2"/>
          <w:numId w:val="146"/>
        </w:numPr>
        <w:rPr>
          <w:rFonts w:ascii="Arial" w:cs="Arial" w:eastAsia="Arial" w:hAnsi="Arial"/>
          <w:sz w:val="19"/>
          <w:szCs w:val="19"/>
          <w:color w:val="auto"/>
        </w:rPr>
      </w:pPr>
      <w:r>
        <w:rPr>
          <w:rFonts w:ascii="Arial" w:cs="Arial" w:eastAsia="Arial" w:hAnsi="Arial"/>
          <w:sz w:val="19"/>
          <w:szCs w:val="19"/>
          <w:color w:val="auto"/>
        </w:rPr>
        <w:t>Sub-Article 65(a)(ii) to 65(a)(iv); and</w:t>
      </w:r>
    </w:p>
    <w:p>
      <w:pPr>
        <w:spacing w:after="0" w:line="73" w:lineRule="exact"/>
        <w:rPr>
          <w:rFonts w:ascii="Arial" w:cs="Arial" w:eastAsia="Arial" w:hAnsi="Arial"/>
          <w:sz w:val="19"/>
          <w:szCs w:val="19"/>
          <w:color w:val="auto"/>
        </w:rPr>
      </w:pPr>
    </w:p>
    <w:p>
      <w:pPr>
        <w:ind w:left="1920" w:hanging="642"/>
        <w:spacing w:after="0"/>
        <w:tabs>
          <w:tab w:leader="none" w:pos="1920" w:val="left"/>
        </w:tabs>
        <w:numPr>
          <w:ilvl w:val="2"/>
          <w:numId w:val="146"/>
        </w:numPr>
        <w:rPr>
          <w:rFonts w:ascii="Arial" w:cs="Arial" w:eastAsia="Arial" w:hAnsi="Arial"/>
          <w:sz w:val="19"/>
          <w:szCs w:val="19"/>
          <w:color w:val="auto"/>
        </w:rPr>
      </w:pPr>
      <w:r>
        <w:rPr>
          <w:rFonts w:ascii="Arial" w:cs="Arial" w:eastAsia="Arial" w:hAnsi="Arial"/>
          <w:sz w:val="19"/>
          <w:szCs w:val="19"/>
          <w:color w:val="auto"/>
        </w:rPr>
        <w:t>Sub-Article 65(a)(i), provided that:</w:t>
      </w:r>
    </w:p>
    <w:p>
      <w:pPr>
        <w:spacing w:after="0" w:line="73" w:lineRule="exact"/>
        <w:rPr>
          <w:rFonts w:ascii="Arial" w:cs="Arial" w:eastAsia="Arial" w:hAnsi="Arial"/>
          <w:sz w:val="19"/>
          <w:szCs w:val="19"/>
          <w:color w:val="auto"/>
        </w:rPr>
      </w:pPr>
    </w:p>
    <w:p>
      <w:pPr>
        <w:jc w:val="both"/>
        <w:ind w:left="1880" w:firstLine="5"/>
        <w:spacing w:after="0" w:line="220" w:lineRule="auto"/>
        <w:tabs>
          <w:tab w:leader="none" w:pos="2544" w:val="left"/>
        </w:tabs>
        <w:numPr>
          <w:ilvl w:val="3"/>
          <w:numId w:val="146"/>
        </w:numPr>
        <w:rPr>
          <w:rFonts w:ascii="Arial" w:cs="Arial" w:eastAsia="Arial" w:hAnsi="Arial"/>
          <w:sz w:val="19"/>
          <w:szCs w:val="19"/>
          <w:color w:val="auto"/>
        </w:rPr>
      </w:pPr>
      <w:r>
        <w:rPr>
          <w:rFonts w:ascii="Arial" w:cs="Arial" w:eastAsia="Arial" w:hAnsi="Arial"/>
          <w:sz w:val="19"/>
          <w:szCs w:val="19"/>
          <w:color w:val="auto"/>
        </w:rPr>
        <w:t>the undertaking to indemnify is limited to such events which the Directors shall deem to be foreseeable in light of the operations of the Company at the time that the undertaking to indemnify is made and for such amounts or criterion which the Directors may, at the time of the giving of such undertaking to indemnify, deem to be reasonable under the circumstances; and</w:t>
      </w:r>
    </w:p>
    <w:p>
      <w:pPr>
        <w:spacing w:after="0" w:line="46" w:lineRule="exact"/>
        <w:rPr>
          <w:rFonts w:ascii="Arial" w:cs="Arial" w:eastAsia="Arial" w:hAnsi="Arial"/>
          <w:sz w:val="19"/>
          <w:szCs w:val="19"/>
          <w:color w:val="auto"/>
        </w:rPr>
      </w:pPr>
    </w:p>
    <w:p>
      <w:pPr>
        <w:jc w:val="both"/>
        <w:ind w:left="1880" w:firstLine="5"/>
        <w:spacing w:after="0" w:line="220" w:lineRule="auto"/>
        <w:tabs>
          <w:tab w:leader="none" w:pos="2544" w:val="left"/>
        </w:tabs>
        <w:numPr>
          <w:ilvl w:val="3"/>
          <w:numId w:val="146"/>
        </w:numPr>
        <w:rPr>
          <w:rFonts w:ascii="Arial" w:cs="Arial" w:eastAsia="Arial" w:hAnsi="Arial"/>
          <w:sz w:val="19"/>
          <w:szCs w:val="19"/>
          <w:color w:val="auto"/>
        </w:rPr>
      </w:pPr>
      <w:r>
        <w:rPr>
          <w:rFonts w:ascii="Arial" w:cs="Arial" w:eastAsia="Arial" w:hAnsi="Arial"/>
          <w:sz w:val="19"/>
          <w:szCs w:val="19"/>
          <w:color w:val="auto"/>
        </w:rPr>
        <w:t>the undertaking to indemnify shall set forth such events which the Directors shall deem to be foreseeable in light of the operations of the Company at the time that the undertaking to indemnify is made, and the amounts and/or criterion which the Directors may, at the time of the giving of such undertaking to indemnify, deem to be reasonable under the circumstances.</w:t>
      </w:r>
    </w:p>
    <w:p>
      <w:pPr>
        <w:spacing w:after="0" w:line="40" w:lineRule="exact"/>
        <w:rPr>
          <w:rFonts w:ascii="Arial" w:cs="Arial" w:eastAsia="Arial" w:hAnsi="Arial"/>
          <w:sz w:val="19"/>
          <w:szCs w:val="19"/>
          <w:color w:val="auto"/>
        </w:rPr>
      </w:pPr>
    </w:p>
    <w:p>
      <w:pPr>
        <w:ind w:left="620" w:hanging="614"/>
        <w:spacing w:after="0"/>
        <w:tabs>
          <w:tab w:leader="none" w:pos="620" w:val="left"/>
        </w:tabs>
        <w:numPr>
          <w:ilvl w:val="0"/>
          <w:numId w:val="147"/>
        </w:numPr>
        <w:rPr>
          <w:rFonts w:ascii="Arial" w:cs="Arial" w:eastAsia="Arial" w:hAnsi="Arial"/>
          <w:sz w:val="19"/>
          <w:szCs w:val="19"/>
          <w:color w:val="auto"/>
        </w:rPr>
      </w:pPr>
      <w:r>
        <w:rPr>
          <w:rFonts w:ascii="Arial" w:cs="Arial" w:eastAsia="Arial" w:hAnsi="Arial"/>
          <w:sz w:val="19"/>
          <w:szCs w:val="19"/>
          <w:b w:val="1"/>
          <w:bCs w:val="1"/>
          <w:u w:val="single" w:color="auto"/>
          <w:color w:val="auto"/>
        </w:rPr>
        <w:t>Exemption</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40"/>
        <w:spacing w:after="0" w:line="237" w:lineRule="auto"/>
        <w:rPr>
          <w:rFonts w:ascii="Arial" w:cs="Arial" w:eastAsia="Arial" w:hAnsi="Arial"/>
          <w:sz w:val="19"/>
          <w:szCs w:val="19"/>
          <w:color w:val="auto"/>
        </w:rPr>
      </w:pPr>
      <w:r>
        <w:rPr>
          <w:rFonts w:ascii="Arial" w:cs="Arial" w:eastAsia="Arial" w:hAnsi="Arial"/>
          <w:sz w:val="19"/>
          <w:szCs w:val="19"/>
          <w:color w:val="auto"/>
        </w:rPr>
        <w:t>Subject to the provisions of the Companies Law, the Company may, to the maximum extent permitted by law, exempt and release, in advance, any Office Holder from any liability for damages arising out of a breach of a duty of care.</w:t>
      </w:r>
    </w:p>
    <w:p>
      <w:pPr>
        <w:spacing w:after="0" w:line="39" w:lineRule="exact"/>
        <w:rPr>
          <w:rFonts w:ascii="Arial" w:cs="Arial" w:eastAsia="Arial" w:hAnsi="Arial"/>
          <w:sz w:val="19"/>
          <w:szCs w:val="19"/>
          <w:color w:val="auto"/>
        </w:rPr>
      </w:pPr>
    </w:p>
    <w:p>
      <w:pPr>
        <w:ind w:left="620" w:hanging="614"/>
        <w:spacing w:after="0"/>
        <w:tabs>
          <w:tab w:leader="none" w:pos="620" w:val="left"/>
        </w:tabs>
        <w:numPr>
          <w:ilvl w:val="0"/>
          <w:numId w:val="147"/>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0" w:lineRule="auto"/>
        <w:tabs>
          <w:tab w:leader="none" w:pos="126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Any amendment to the Companies Law or any other applicable law adversely affecting the right of any Office Holder to be indemnified, insured or exempt pursuant to Articles 64 to 66 and any amendments to Articles 64 to 66 shall be prospective in effect, and shall not affect the Company’s obligation or ability to indemnify, insure or exempt an Office Holder for any act or omission occurring prior to such amendment, unless otherwise provided by applicable law.</w:t>
      </w:r>
    </w:p>
    <w:p>
      <w:pPr>
        <w:spacing w:after="0" w:line="46" w:lineRule="exact"/>
        <w:rPr>
          <w:rFonts w:ascii="Arial" w:cs="Arial" w:eastAsia="Arial" w:hAnsi="Arial"/>
          <w:sz w:val="19"/>
          <w:szCs w:val="19"/>
          <w:color w:val="auto"/>
        </w:rPr>
      </w:pPr>
    </w:p>
    <w:p>
      <w:pPr>
        <w:jc w:val="both"/>
        <w:ind w:left="640" w:hanging="9"/>
        <w:spacing w:after="0" w:line="215" w:lineRule="auto"/>
        <w:tabs>
          <w:tab w:leader="none" w:pos="126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provisions of Articles 64 to 66 (i) shall apply to the maximum extent permitted by law (including, the Companies Law, the Securities Law and the Economic Competition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Winding Up</w:t>
      </w:r>
    </w:p>
    <w:p>
      <w:pPr>
        <w:spacing w:after="0" w:line="73" w:lineRule="exact"/>
        <w:rPr>
          <w:sz w:val="20"/>
          <w:szCs w:val="20"/>
          <w:color w:val="auto"/>
        </w:rPr>
      </w:pPr>
    </w:p>
    <w:p>
      <w:pPr>
        <w:ind w:left="620" w:hanging="614"/>
        <w:spacing w:after="0"/>
        <w:tabs>
          <w:tab w:leader="none" w:pos="620" w:val="left"/>
        </w:tabs>
        <w:numPr>
          <w:ilvl w:val="0"/>
          <w:numId w:val="148"/>
        </w:numPr>
        <w:rPr>
          <w:rFonts w:ascii="Arial" w:cs="Arial" w:eastAsia="Arial" w:hAnsi="Arial"/>
          <w:sz w:val="19"/>
          <w:szCs w:val="19"/>
          <w:color w:val="auto"/>
        </w:rPr>
      </w:pPr>
      <w:r>
        <w:rPr>
          <w:rFonts w:ascii="Arial" w:cs="Arial" w:eastAsia="Arial" w:hAnsi="Arial"/>
          <w:sz w:val="19"/>
          <w:szCs w:val="19"/>
          <w:b w:val="1"/>
          <w:bCs w:val="1"/>
          <w:u w:val="single" w:color="auto"/>
          <w:color w:val="auto"/>
        </w:rPr>
        <w:t>Winding Up</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6" w:lineRule="auto"/>
        <w:rPr>
          <w:rFonts w:ascii="Arial" w:cs="Arial" w:eastAsia="Arial" w:hAnsi="Arial"/>
          <w:sz w:val="19"/>
          <w:szCs w:val="19"/>
          <w:color w:val="auto"/>
        </w:rPr>
      </w:pPr>
      <w:r>
        <w:rPr>
          <w:rFonts w:ascii="Arial" w:cs="Arial" w:eastAsia="Arial" w:hAnsi="Arial"/>
          <w:sz w:val="19"/>
          <w:szCs w:val="19"/>
          <w:color w:val="auto"/>
        </w:rPr>
        <w:t>If the Company is wound up, then, subject to applicable law and to the rights of the holders of shares with special rights upon winding up, the assets of the Company available for distribution among the Shareholders shall be distributed to them in proportion to the number of issued and outstanding shares held by each Shareholder.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Notices</w:t>
      </w:r>
    </w:p>
    <w:p>
      <w:pPr>
        <w:spacing w:after="0" w:line="73" w:lineRule="exact"/>
        <w:rPr>
          <w:sz w:val="20"/>
          <w:szCs w:val="20"/>
          <w:color w:val="auto"/>
        </w:rPr>
      </w:pPr>
    </w:p>
    <w:p>
      <w:pPr>
        <w:ind w:left="620" w:hanging="614"/>
        <w:spacing w:after="0"/>
        <w:tabs>
          <w:tab w:leader="none" w:pos="620"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20" w:lineRule="auto"/>
        <w:tabs>
          <w:tab w:leader="none" w:pos="1269"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Any written notice or other document may be served by the Company upon any Shareholder either personally, by facsimile, email or other electronic transmission, or by sending it by prepaid mail (airmail if sent internationally) addressed to such Shareholder at his or her address as described in the Register of Shareholders or such other address as the Shareholder may have designated in writing for the receipt of notices and other documents.</w:t>
      </w:r>
    </w:p>
    <w:p>
      <w:pPr>
        <w:spacing w:after="0" w:line="46" w:lineRule="exact"/>
        <w:rPr>
          <w:rFonts w:ascii="Arial" w:cs="Arial" w:eastAsia="Arial" w:hAnsi="Arial"/>
          <w:sz w:val="19"/>
          <w:szCs w:val="19"/>
          <w:color w:val="auto"/>
        </w:rPr>
      </w:pPr>
    </w:p>
    <w:p>
      <w:pPr>
        <w:ind w:left="640" w:hanging="9"/>
        <w:spacing w:after="0" w:line="237" w:lineRule="auto"/>
        <w:tabs>
          <w:tab w:leader="none" w:pos="126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Any written notice or other document may be served by any Shareholder upon the Company by tendering the same in person to the Secretary or the General Counsel of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9" w:lineRule="exact"/>
        <w:rPr>
          <w:rFonts w:ascii="Arial" w:cs="Arial" w:eastAsia="Arial" w:hAnsi="Arial"/>
          <w:sz w:val="19"/>
          <w:szCs w:val="19"/>
          <w:color w:val="auto"/>
        </w:rPr>
      </w:pPr>
    </w:p>
    <w:p>
      <w:pPr>
        <w:ind w:left="5540" w:hanging="88"/>
        <w:spacing w:after="0"/>
        <w:tabs>
          <w:tab w:leader="none" w:pos="554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27 -</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4" w:lineRule="exact"/>
        <w:rPr>
          <w:sz w:val="20"/>
          <w:szCs w:val="20"/>
          <w:color w:val="auto"/>
        </w:rPr>
      </w:pPr>
    </w:p>
    <w:p>
      <w:pPr>
        <w:ind w:left="640" w:right="20"/>
        <w:spacing w:after="0" w:line="237" w:lineRule="auto"/>
        <w:rPr>
          <w:sz w:val="20"/>
          <w:szCs w:val="20"/>
          <w:color w:val="auto"/>
        </w:rPr>
      </w:pPr>
      <w:r>
        <w:rPr>
          <w:rFonts w:ascii="Arial" w:cs="Arial" w:eastAsia="Arial" w:hAnsi="Arial"/>
          <w:sz w:val="19"/>
          <w:szCs w:val="19"/>
          <w:color w:val="auto"/>
        </w:rPr>
        <w:t>Company at the principal office of the Company, by facsimile transmission, or by sending it by prepaid registered mail (airmail if posted outside Israel) to the Company at its Office.</w:t>
      </w:r>
    </w:p>
    <w:p>
      <w:pPr>
        <w:spacing w:after="0" w:line="45" w:lineRule="exact"/>
        <w:rPr>
          <w:sz w:val="20"/>
          <w:szCs w:val="20"/>
          <w:color w:val="auto"/>
        </w:rPr>
      </w:pPr>
    </w:p>
    <w:p>
      <w:pPr>
        <w:ind w:left="1280" w:hanging="649"/>
        <w:spacing w:after="0"/>
        <w:tabs>
          <w:tab w:leader="none" w:pos="12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such notice or other document shall be deemed to have been served:</w:t>
      </w:r>
    </w:p>
    <w:p>
      <w:pPr>
        <w:spacing w:after="0" w:line="73" w:lineRule="exact"/>
        <w:rPr>
          <w:rFonts w:ascii="Arial" w:cs="Arial" w:eastAsia="Arial" w:hAnsi="Arial"/>
          <w:sz w:val="19"/>
          <w:szCs w:val="19"/>
          <w:color w:val="auto"/>
        </w:rPr>
      </w:pPr>
    </w:p>
    <w:p>
      <w:pPr>
        <w:ind w:left="1280" w:hanging="2"/>
        <w:spacing w:after="0" w:line="237" w:lineRule="auto"/>
        <w:tabs>
          <w:tab w:leader="none" w:pos="191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the case of mailing, forty-eight (48) hours after it has been posted, or when actually received by the addressee if sooner than forty-eight hours after it has been posted, or</w:t>
      </w:r>
    </w:p>
    <w:p>
      <w:pPr>
        <w:spacing w:after="0" w:line="45" w:lineRule="exact"/>
        <w:rPr>
          <w:rFonts w:ascii="Arial" w:cs="Arial" w:eastAsia="Arial" w:hAnsi="Arial"/>
          <w:sz w:val="19"/>
          <w:szCs w:val="19"/>
          <w:color w:val="auto"/>
        </w:rPr>
      </w:pPr>
    </w:p>
    <w:p>
      <w:pPr>
        <w:ind w:left="1280" w:hanging="2"/>
        <w:spacing w:after="0" w:line="237" w:lineRule="auto"/>
        <w:tabs>
          <w:tab w:leader="none" w:pos="191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the case of overnight air courier, on the next business day following the day sent, with receipt confirmed by the courier, or when actually received by the addressee if sooner than three business days after it has been sent;</w:t>
      </w:r>
    </w:p>
    <w:p>
      <w:pPr>
        <w:spacing w:after="0" w:line="45" w:lineRule="exact"/>
        <w:rPr>
          <w:rFonts w:ascii="Arial" w:cs="Arial" w:eastAsia="Arial" w:hAnsi="Arial"/>
          <w:sz w:val="19"/>
          <w:szCs w:val="19"/>
          <w:color w:val="auto"/>
        </w:rPr>
      </w:pPr>
    </w:p>
    <w:p>
      <w:pPr>
        <w:ind w:left="1920" w:hanging="642"/>
        <w:spacing w:after="0"/>
        <w:tabs>
          <w:tab w:leader="none" w:pos="192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the case of personal delivery, when actually tendered in person, to such addressee;</w:t>
      </w:r>
    </w:p>
    <w:p>
      <w:pPr>
        <w:spacing w:after="0" w:line="73" w:lineRule="exact"/>
        <w:rPr>
          <w:rFonts w:ascii="Arial" w:cs="Arial" w:eastAsia="Arial" w:hAnsi="Arial"/>
          <w:sz w:val="19"/>
          <w:szCs w:val="19"/>
          <w:color w:val="auto"/>
        </w:rPr>
      </w:pPr>
    </w:p>
    <w:p>
      <w:pPr>
        <w:jc w:val="both"/>
        <w:ind w:left="1280" w:hanging="2"/>
        <w:spacing w:after="0" w:line="259" w:lineRule="auto"/>
        <w:tabs>
          <w:tab w:leader="none" w:pos="1905" w:val="left"/>
        </w:tabs>
        <w:numPr>
          <w:ilvl w:val="1"/>
          <w:numId w:val="150"/>
        </w:numPr>
        <w:rPr>
          <w:rFonts w:ascii="Arial" w:cs="Arial" w:eastAsia="Arial" w:hAnsi="Arial"/>
          <w:sz w:val="17"/>
          <w:szCs w:val="17"/>
          <w:color w:val="auto"/>
        </w:rPr>
      </w:pPr>
      <w:r>
        <w:rPr>
          <w:rFonts w:ascii="Arial" w:cs="Arial" w:eastAsia="Arial" w:hAnsi="Arial"/>
          <w:sz w:val="17"/>
          <w:szCs w:val="17"/>
          <w:color w:val="auto"/>
        </w:rPr>
        <w:t>in the case of facsimile, email or other electronic transmission, on the first business day (during normal business hours in place of addressee) on which the sender receives automatic electronic confirmation by the addressee’s facsimile machine that such notice was received by the addressee or delivery confirmation from the addressee’s email or other communication server.</w:t>
      </w:r>
    </w:p>
    <w:p>
      <w:pPr>
        <w:spacing w:after="0" w:line="29" w:lineRule="exact"/>
        <w:rPr>
          <w:rFonts w:ascii="Arial" w:cs="Arial" w:eastAsia="Arial" w:hAnsi="Arial"/>
          <w:sz w:val="17"/>
          <w:szCs w:val="17"/>
          <w:color w:val="auto"/>
        </w:rPr>
      </w:pPr>
    </w:p>
    <w:p>
      <w:pPr>
        <w:ind w:left="640" w:hanging="9"/>
        <w:spacing w:after="0" w:line="261" w:lineRule="auto"/>
        <w:tabs>
          <w:tab w:leader="none" w:pos="126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 notice is, in fact, received by the addressee, it shall be deemed to have been duly served, when received, notwithstanding that it was defectively addressed or failed, in some other respect, to comply with the provisions of this Article 69.</w:t>
      </w:r>
    </w:p>
    <w:p>
      <w:pPr>
        <w:spacing w:after="0" w:line="26" w:lineRule="exact"/>
        <w:rPr>
          <w:rFonts w:ascii="Arial" w:cs="Arial" w:eastAsia="Arial" w:hAnsi="Arial"/>
          <w:sz w:val="18"/>
          <w:szCs w:val="18"/>
          <w:color w:val="auto"/>
        </w:rPr>
      </w:pPr>
    </w:p>
    <w:p>
      <w:pPr>
        <w:jc w:val="both"/>
        <w:ind w:left="640" w:hanging="9"/>
        <w:spacing w:after="0" w:line="226" w:lineRule="auto"/>
        <w:tabs>
          <w:tab w:leader="none" w:pos="126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45" w:lineRule="exact"/>
        <w:rPr>
          <w:rFonts w:ascii="Arial" w:cs="Arial" w:eastAsia="Arial" w:hAnsi="Arial"/>
          <w:sz w:val="19"/>
          <w:szCs w:val="19"/>
          <w:color w:val="auto"/>
        </w:rPr>
      </w:pPr>
    </w:p>
    <w:p>
      <w:pPr>
        <w:ind w:left="640" w:hanging="9"/>
        <w:spacing w:after="0" w:line="237" w:lineRule="auto"/>
        <w:tabs>
          <w:tab w:leader="none" w:pos="127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Shareholder whose address is not described in the Register of Shareholders, and who shall not have designated in writing an address for the receipt of notices, shall not be entitled to receive any notice from the Company.</w:t>
      </w:r>
    </w:p>
    <w:p>
      <w:pPr>
        <w:spacing w:after="0" w:line="45" w:lineRule="exact"/>
        <w:rPr>
          <w:rFonts w:ascii="Arial" w:cs="Arial" w:eastAsia="Arial" w:hAnsi="Arial"/>
          <w:sz w:val="19"/>
          <w:szCs w:val="19"/>
          <w:color w:val="auto"/>
        </w:rPr>
      </w:pPr>
    </w:p>
    <w:p>
      <w:pPr>
        <w:jc w:val="both"/>
        <w:ind w:left="640" w:hanging="9"/>
        <w:spacing w:after="0" w:line="243" w:lineRule="auto"/>
        <w:tabs>
          <w:tab w:leader="none" w:pos="126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notice by the Company of a General Meeting, containing the information required by applicable law and these Articles to be set forth therein, which is published, within the time otherwise required for giving notice of such meeting, in either or several of the following manners (as applicable) shall be deemed to be notice of such meeting duly given, for the purposes of these Articles, to any Shareholder whose address as registered in the Register of Shareholders (or as designated in writing for the receipt of notices and other documents) is located either inside or outside the State of Israel:</w:t>
      </w:r>
    </w:p>
    <w:p>
      <w:pPr>
        <w:spacing w:after="0" w:line="43" w:lineRule="exact"/>
        <w:rPr>
          <w:rFonts w:ascii="Arial" w:cs="Arial" w:eastAsia="Arial" w:hAnsi="Arial"/>
          <w:sz w:val="17"/>
          <w:szCs w:val="17"/>
          <w:color w:val="auto"/>
        </w:rPr>
      </w:pPr>
    </w:p>
    <w:p>
      <w:pPr>
        <w:jc w:val="both"/>
        <w:ind w:left="1280" w:hanging="2"/>
        <w:spacing w:after="0" w:line="238" w:lineRule="auto"/>
        <w:tabs>
          <w:tab w:leader="none" w:pos="191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the Company’s shares are then listed for trading on a national securities exchange in the United States or quoted in an over-the-counter market in the United States, publication of notice of a General Meeting pursuant to a report or a schedule filed with, or furnished to, the SEC pursuant to the Securities Exchange Act of 1934, as amended; and/or</w:t>
      </w:r>
    </w:p>
    <w:p>
      <w:pPr>
        <w:spacing w:after="0" w:line="46" w:lineRule="exact"/>
        <w:rPr>
          <w:rFonts w:ascii="Arial" w:cs="Arial" w:eastAsia="Arial" w:hAnsi="Arial"/>
          <w:sz w:val="18"/>
          <w:szCs w:val="18"/>
          <w:color w:val="auto"/>
        </w:rPr>
      </w:pPr>
    </w:p>
    <w:p>
      <w:pPr>
        <w:ind w:left="1920" w:hanging="642"/>
        <w:spacing w:after="0"/>
        <w:tabs>
          <w:tab w:leader="none" w:pos="192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on the Company’s internet site.</w:t>
      </w:r>
    </w:p>
    <w:p>
      <w:pPr>
        <w:spacing w:after="0" w:line="73" w:lineRule="exact"/>
        <w:rPr>
          <w:rFonts w:ascii="Arial" w:cs="Arial" w:eastAsia="Arial" w:hAnsi="Arial"/>
          <w:sz w:val="19"/>
          <w:szCs w:val="19"/>
          <w:color w:val="auto"/>
        </w:rPr>
      </w:pPr>
    </w:p>
    <w:p>
      <w:pPr>
        <w:ind w:left="640" w:hanging="9"/>
        <w:spacing w:after="0" w:line="237" w:lineRule="auto"/>
        <w:tabs>
          <w:tab w:leader="none" w:pos="126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mailing or publication date and the record date and/or date of the meeting (as applicable) shall be counted among the days comprising any notice period under the Companies Law and the regulations thereunder.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w:t>
      </w:r>
    </w:p>
    <w:p>
      <w:pPr>
        <w:spacing w:after="0" w:line="73" w:lineRule="exact"/>
        <w:rPr>
          <w:sz w:val="20"/>
          <w:szCs w:val="20"/>
          <w:color w:val="auto"/>
        </w:rPr>
      </w:pPr>
    </w:p>
    <w:p>
      <w:pPr>
        <w:ind w:left="620" w:hanging="614"/>
        <w:spacing w:after="0"/>
        <w:tabs>
          <w:tab w:leader="none" w:pos="620" w:val="left"/>
        </w:tabs>
        <w:numPr>
          <w:ilvl w:val="0"/>
          <w:numId w:val="151"/>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spacing w:after="0" w:line="226" w:lineRule="auto"/>
        <w:rPr>
          <w:rFonts w:ascii="Arial" w:cs="Arial" w:eastAsia="Arial" w:hAnsi="Arial"/>
          <w:sz w:val="19"/>
          <w:szCs w:val="19"/>
          <w:color w:val="auto"/>
        </w:rPr>
      </w:pPr>
      <w:r>
        <w:rPr>
          <w:rFonts w:ascii="Arial" w:cs="Arial" w:eastAsia="Arial" w:hAnsi="Arial"/>
          <w:sz w:val="19"/>
          <w:szCs w:val="19"/>
          <w:color w:val="auto"/>
        </w:rPr>
        <w:t>Any amendment of these Articles (including pursuant to Section 6(l) and Section 26(d)) shall require, in addition to the approval of the General Meeting of shareholders in accordance with these Articles, also the approval of the Board of Directors with the affirmative vote of a majority of the then serving Directors.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5540" w:hanging="88"/>
        <w:spacing w:after="0"/>
        <w:tabs>
          <w:tab w:leader="none" w:pos="55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28 -</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Forum for Adjudication of Disputes</w:t>
      </w:r>
    </w:p>
    <w:p>
      <w:pPr>
        <w:spacing w:after="0" w:line="73" w:lineRule="exact"/>
        <w:rPr>
          <w:sz w:val="20"/>
          <w:szCs w:val="20"/>
          <w:color w:val="auto"/>
        </w:rPr>
      </w:pPr>
    </w:p>
    <w:p>
      <w:pPr>
        <w:ind w:left="620" w:hanging="614"/>
        <w:spacing w:after="0"/>
        <w:tabs>
          <w:tab w:leader="none" w:pos="620" w:val="left"/>
        </w:tabs>
        <w:numPr>
          <w:ilvl w:val="0"/>
          <w:numId w:val="152"/>
        </w:numPr>
        <w:rPr>
          <w:rFonts w:ascii="Arial" w:cs="Arial" w:eastAsia="Arial" w:hAnsi="Arial"/>
          <w:sz w:val="19"/>
          <w:szCs w:val="19"/>
          <w:color w:val="auto"/>
        </w:rPr>
      </w:pPr>
      <w:r>
        <w:rPr>
          <w:rFonts w:ascii="Arial" w:cs="Arial" w:eastAsia="Arial" w:hAnsi="Arial"/>
          <w:sz w:val="19"/>
          <w:szCs w:val="19"/>
          <w:b w:val="1"/>
          <w:bCs w:val="1"/>
          <w:u w:val="single" w:color="auto"/>
          <w:color w:val="auto"/>
        </w:rPr>
        <w:t>Forum for Adjudication of Disputes</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640" w:hanging="9"/>
        <w:spacing w:after="0" w:line="238" w:lineRule="auto"/>
        <w:tabs>
          <w:tab w:leader="none" w:pos="126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Unless the Company consents in writing to the selection of an alternative forum, the federal district courts of the United States of America shall be the exclusive forum for the resolution of any complaint asserting a cause or causes of action arising under the U.S. Securities Act of 1933, as amended, including all causes of action asserted against any defendant to such complaint. For the avoidance of doubt, this provision is intended to benefit and may be enforced by the Company,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The foregoing provisions of this Article 71 shall not apply to causes of action arising under the U.S. Securities Exchange Act of 1934, as amended.</w:t>
      </w:r>
    </w:p>
    <w:p>
      <w:pPr>
        <w:spacing w:after="0" w:line="47" w:lineRule="exact"/>
        <w:rPr>
          <w:rFonts w:ascii="Arial" w:cs="Arial" w:eastAsia="Arial" w:hAnsi="Arial"/>
          <w:sz w:val="17"/>
          <w:szCs w:val="17"/>
          <w:color w:val="auto"/>
        </w:rPr>
      </w:pPr>
    </w:p>
    <w:p>
      <w:pPr>
        <w:jc w:val="both"/>
        <w:ind w:left="640" w:hanging="9"/>
        <w:spacing w:after="0" w:line="215" w:lineRule="auto"/>
        <w:tabs>
          <w:tab w:leader="none" w:pos="1266" w:val="left"/>
        </w:tabs>
        <w:numPr>
          <w:ilvl w:val="1"/>
          <w:numId w:val="152"/>
        </w:numPr>
        <w:rPr>
          <w:rFonts w:ascii="Arial" w:cs="Arial" w:eastAsia="Arial" w:hAnsi="Arial"/>
          <w:sz w:val="19"/>
          <w:szCs w:val="19"/>
          <w:color w:val="auto"/>
        </w:rPr>
      </w:pPr>
      <w:r>
        <w:rPr>
          <w:rFonts w:ascii="Arial" w:cs="Arial" w:eastAsia="Arial" w:hAnsi="Arial"/>
          <w:sz w:val="19"/>
          <w:szCs w:val="19"/>
          <w:color w:val="auto"/>
        </w:rPr>
        <w:t>Unless the Company consents in writing to the selection of an alternative forum, the competent courts in Tel Aviv, Israel shall be the exclusive forum for (i) any derivative action or proceeding brought on behalf of the Company, (ii) any action asserting a claim of breach of a fiduciary duty owed by any director, officer or other employee of the Company to the Company or the Company’s shareholders, or (iii) any action asserting a claim arising pursuant to any provision of the Companies Law or the Securities Law. Any person or entity purchasing or otherwise acquiring or holding any interest in shares of the Company shall be deemed to have notice of and consented to the provisions of this Article 71.</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ind w:left="5280"/>
        <w:spacing w:after="0"/>
        <w:rPr>
          <w:rFonts w:ascii="Arial" w:cs="Arial" w:eastAsia="Arial" w:hAnsi="Arial"/>
          <w:sz w:val="19"/>
          <w:szCs w:val="19"/>
          <w:color w:val="auto"/>
        </w:rPr>
      </w:pPr>
      <w:r>
        <w:rPr>
          <w:rFonts w:ascii="Arial" w:cs="Arial" w:eastAsia="Arial" w:hAnsi="Arial"/>
          <w:sz w:val="19"/>
          <w:szCs w:val="19"/>
          <w:color w:val="auto"/>
        </w:rPr>
        <w:t>*  *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9" w:lineRule="exact"/>
        <w:rPr>
          <w:rFonts w:ascii="Arial" w:cs="Arial" w:eastAsia="Arial" w:hAnsi="Arial"/>
          <w:sz w:val="19"/>
          <w:szCs w:val="19"/>
          <w:color w:val="auto"/>
        </w:rPr>
      </w:pPr>
    </w:p>
    <w:p>
      <w:pPr>
        <w:ind w:left="5540" w:hanging="88"/>
        <w:spacing w:after="0"/>
        <w:tabs>
          <w:tab w:leader="none" w:pos="5540" w:val="left"/>
        </w:tabs>
        <w:numPr>
          <w:ilvl w:val="3"/>
          <w:numId w:val="152"/>
        </w:numPr>
        <w:rPr>
          <w:rFonts w:ascii="Arial" w:cs="Arial" w:eastAsia="Arial" w:hAnsi="Arial"/>
          <w:sz w:val="16"/>
          <w:szCs w:val="16"/>
          <w:color w:val="auto"/>
        </w:rPr>
      </w:pPr>
      <w:r>
        <w:rPr>
          <w:rFonts w:ascii="Arial" w:cs="Arial" w:eastAsia="Arial" w:hAnsi="Arial"/>
          <w:sz w:val="16"/>
          <w:szCs w:val="16"/>
          <w:color w:val="auto"/>
        </w:rPr>
        <w:t>29 -</w:t>
      </w:r>
    </w:p>
    <w:p>
      <w:pPr>
        <w:sectPr>
          <w:pgSz w:w="11900" w:h="16838" w:orient="portrait"/>
          <w:cols w:equalWidth="0" w:num="1">
            <w:col w:w="11240"/>
          </w:cols>
          <w:pgMar w:left="320" w:top="1440"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THE REGISTRANT’S SECURITIES</w:t>
      </w:r>
    </w:p>
    <w:p>
      <w:pPr>
        <w:jc w:val="center"/>
        <w:spacing w:after="0" w:line="203" w:lineRule="auto"/>
        <w:rPr>
          <w:sz w:val="20"/>
          <w:szCs w:val="20"/>
          <w:color w:val="auto"/>
        </w:rPr>
      </w:pPr>
      <w:r>
        <w:rPr>
          <w:rFonts w:ascii="Arial" w:cs="Arial" w:eastAsia="Arial" w:hAnsi="Arial"/>
          <w:sz w:val="19"/>
          <w:szCs w:val="19"/>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SECURITIES EXCHANGE ACT OF 1934, AS AMENDED</w:t>
      </w:r>
    </w:p>
    <w:p>
      <w:pPr>
        <w:spacing w:after="0" w:line="335"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9"/>
          <w:szCs w:val="19"/>
          <w:color w:val="auto"/>
        </w:rPr>
        <w:t>As of December 31, 2021, Riskified Ltd. had one class of securities registered under Section 12 of the Securities Exchange Act of 1934, as amended: our Class A ordinary shares, no par value (“Class A ordinary shares”).</w:t>
      </w:r>
    </w:p>
    <w:p>
      <w:pPr>
        <w:spacing w:after="0" w:line="10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9"/>
          <w:szCs w:val="19"/>
          <w:color w:val="auto"/>
        </w:rPr>
        <w:t>References herein to “we,” “us,” “our” and the “Company” refer to Riskified Ltd. and not to any of its subsidiaries. The following description may not contain all of the information that is important to you, and we therefore refer you to our amended and restated articles of association (the “Articles”), a copy of which is filed with the Securities and Exchange Commission (“SEC”) as an exhibit to the Company’s annual report on Form 20-F for the year ended December 31, 2021.</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 capital</w:t>
      </w:r>
    </w:p>
    <w:p>
      <w:pPr>
        <w:spacing w:after="0" w:line="1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9"/>
          <w:szCs w:val="19"/>
          <w:color w:val="auto"/>
        </w:rPr>
        <w:t>As of December 31, 2021, our authorized share capital consisted of (i) 900,000,000 Class A ordinary shares, of which 75,909,531 shares were issued and outstanding and 232,500,000 Class B ordinary shares, no par value (“Class B ordinary shares”, and together with the Class A ordinary shares, the “ordinary shares”), of which 88,055,520 shares were issued and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number and purposes of the company</w:t>
      </w:r>
    </w:p>
    <w:p>
      <w:pPr>
        <w:spacing w:after="0" w:line="119" w:lineRule="exact"/>
        <w:rPr>
          <w:sz w:val="20"/>
          <w:szCs w:val="20"/>
          <w:color w:val="auto"/>
        </w:rPr>
      </w:pPr>
    </w:p>
    <w:p>
      <w:pPr>
        <w:jc w:val="both"/>
        <w:ind w:firstLine="318"/>
        <w:spacing w:after="0" w:line="353" w:lineRule="auto"/>
        <w:rPr>
          <w:sz w:val="20"/>
          <w:szCs w:val="20"/>
          <w:color w:val="auto"/>
        </w:rPr>
      </w:pPr>
      <w:r>
        <w:rPr>
          <w:rFonts w:ascii="Arial" w:cs="Arial" w:eastAsia="Arial" w:hAnsi="Arial"/>
          <w:sz w:val="18"/>
          <w:szCs w:val="18"/>
          <w:color w:val="auto"/>
        </w:rPr>
        <w:t>We are registered with the Israeli Registrar of Companies. Our registration number is 51-484411-7. Our affairs are governed by our Articles, the Companies Law and other applicable law. Our purpose as set forth in the Articles is to engage in any lawful act or activity.</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shares</w:t>
      </w:r>
    </w:p>
    <w:p>
      <w:pPr>
        <w:spacing w:after="0" w:line="119"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9"/>
          <w:szCs w:val="19"/>
          <w:color w:val="auto"/>
        </w:rPr>
        <w:t>Our fully paid ordinary shares are issued in registered form and may be freely transferred under our Articles , unless the transfer is restricted or prohibited by another instrument, applicable law or, with respect to our Class A ordinary shares, the rules of the NYSE.</w:t>
      </w:r>
    </w:p>
    <w:p>
      <w:pPr>
        <w:spacing w:after="0" w:line="103" w:lineRule="exact"/>
        <w:rPr>
          <w:sz w:val="20"/>
          <w:szCs w:val="20"/>
          <w:color w:val="auto"/>
        </w:rPr>
      </w:pPr>
    </w:p>
    <w:p>
      <w:pPr>
        <w:jc w:val="both"/>
        <w:ind w:right="20" w:firstLine="318"/>
        <w:spacing w:after="0" w:line="322" w:lineRule="auto"/>
        <w:rPr>
          <w:sz w:val="20"/>
          <w:szCs w:val="20"/>
          <w:color w:val="auto"/>
        </w:rPr>
      </w:pPr>
      <w:r>
        <w:rPr>
          <w:rFonts w:ascii="Arial" w:cs="Arial" w:eastAsia="Arial" w:hAnsi="Arial"/>
          <w:sz w:val="19"/>
          <w:szCs w:val="19"/>
          <w:color w:val="auto"/>
        </w:rPr>
        <w:t>Each Class B ordinary share will convert automatically on a one-for-one basis into a Class A ordinary share upon sale or transfer (other than transfers to certain permitted transferees).</w:t>
      </w:r>
    </w:p>
    <w:p>
      <w:pPr>
        <w:spacing w:after="0" w:line="103"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9"/>
          <w:szCs w:val="19"/>
          <w:color w:val="auto"/>
        </w:rPr>
        <w:t>The ownership or voting of our ordinary shares by non-residents of Israel is not restricted in any way by the Articles or the laws of the State of Israel, except for ownership by nationals of some countries that are, have been, or will be, in a state of war with Israel.</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of directors</w:t>
      </w:r>
    </w:p>
    <w:p>
      <w:pPr>
        <w:spacing w:after="0" w:line="11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9"/>
          <w:szCs w:val="19"/>
          <w:color w:val="auto"/>
        </w:rPr>
        <w:t>Under our Articles, our board of directors must consist of not less than three but no more than eleven directors. Pursuant to our Articles, each of our directors will be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 entitled to one vote per share, and each Class B ordinary share entitled to ten votes per share. However, in the event of a contested election: (i) the method of calculation of the votes and the manner in which the resolutions will be presented to our shareholders at the general meeting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/Document2</w:t>
      </w:r>
    </w:p>
    <w:p>
      <w:pPr>
        <w:sectPr>
          <w:pgSz w:w="11900" w:h="16838" w:orient="portrait"/>
          <w:cols w:equalWidth="0" w:num="1">
            <w:col w:w="11240"/>
          </w:cols>
          <w:pgMar w:left="320" w:top="466"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9"/>
          <w:szCs w:val="19"/>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118"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8"/>
          <w:szCs w:val="18"/>
          <w:color w:val="auto"/>
        </w:rPr>
        <w:t>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our Articles. In addition, the Articles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Articles, until the next annual general meeting of our shareholders for the election of the class of directors to which such director was assigned by our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and liquidation rights</w:t>
      </w:r>
    </w:p>
    <w:p>
      <w:pPr>
        <w:spacing w:after="0" w:line="11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9"/>
          <w:szCs w:val="19"/>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The Articles do not require shareholder approval of a dividend distribution and provide that dividend distributions may be determined by our board of directors.</w:t>
      </w:r>
    </w:p>
    <w:p>
      <w:pPr>
        <w:spacing w:after="0" w:line="123" w:lineRule="exact"/>
        <w:rPr>
          <w:sz w:val="20"/>
          <w:szCs w:val="20"/>
          <w:color w:val="auto"/>
        </w:rPr>
      </w:pPr>
    </w:p>
    <w:p>
      <w:pPr>
        <w:jc w:val="both"/>
        <w:ind w:firstLine="318"/>
        <w:spacing w:after="0" w:line="338" w:lineRule="auto"/>
        <w:rPr>
          <w:sz w:val="20"/>
          <w:szCs w:val="20"/>
          <w:color w:val="auto"/>
        </w:rPr>
      </w:pPr>
      <w:r>
        <w:rPr>
          <w:rFonts w:ascii="Arial" w:cs="Arial" w:eastAsia="Arial" w:hAnsi="Arial"/>
          <w:sz w:val="17"/>
          <w:szCs w:val="17"/>
          <w:color w:val="auto"/>
        </w:rPr>
        <w:t>Pursuant to the Companies Law, the distribution amount is limited to the greater of retained earnings or earnings generated over the previous two years, according to our then last reviewed or audited consolidated financial statements (less the amount of previously distributed dividends, if not reduced from the earnings), provided that the end of the period to which the consolidated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9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rights</w:t>
      </w:r>
    </w:p>
    <w:p>
      <w:pPr>
        <w:spacing w:after="0" w:line="1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9"/>
          <w:szCs w:val="19"/>
          <w:color w:val="auto"/>
        </w:rPr>
        <w:t>Each Class A ordinary share is entitled to one vote per share. Each Class B ordinary share is entitled to ten votes per share. Holders of our Class A ordinary shares and Class B ordinary shares will vote together as a single class on all matters (including the election of directors) submitted to a vote of shareholders except as otherwise provided in the Articles or as required by applicable</w:t>
      </w:r>
    </w:p>
    <w:p>
      <w:pPr>
        <w:sectPr>
          <w:pgSz w:w="11900" w:h="16838" w:orient="portrait"/>
          <w:cols w:equalWidth="0" w:num="1">
            <w:col w:w="11240"/>
          </w:cols>
          <w:pgMar w:left="320" w:top="110"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9"/>
          <w:szCs w:val="19"/>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22" w:lineRule="auto"/>
        <w:rPr>
          <w:sz w:val="20"/>
          <w:szCs w:val="20"/>
          <w:color w:val="auto"/>
        </w:rPr>
      </w:pPr>
      <w:r>
        <w:rPr>
          <w:rFonts w:ascii="Arial" w:cs="Arial" w:eastAsia="Arial" w:hAnsi="Arial"/>
          <w:sz w:val="19"/>
          <w:szCs w:val="19"/>
          <w:color w:val="auto"/>
        </w:rPr>
        <w:t>law. Under the Articles and the Companies Law, the holders of our Class B ordinary shares will only vote as a separate class under certain circumstances, including:</w:t>
      </w:r>
    </w:p>
    <w:p>
      <w:pPr>
        <w:spacing w:after="0" w:line="103" w:lineRule="exact"/>
        <w:rPr>
          <w:sz w:val="20"/>
          <w:szCs w:val="20"/>
          <w:color w:val="auto"/>
        </w:rPr>
      </w:pPr>
    </w:p>
    <w:p>
      <w:pPr>
        <w:ind w:left="640" w:hanging="316"/>
        <w:spacing w:after="0" w:line="322" w:lineRule="auto"/>
        <w:tabs>
          <w:tab w:leader="none" w:pos="635" w:val="left"/>
        </w:tabs>
        <w:numPr>
          <w:ilvl w:val="0"/>
          <w:numId w:val="153"/>
        </w:numPr>
        <w:rPr>
          <w:rFonts w:ascii="Arial" w:cs="Arial" w:eastAsia="Arial" w:hAnsi="Arial"/>
          <w:sz w:val="18"/>
          <w:szCs w:val="18"/>
          <w:color w:val="auto"/>
        </w:rPr>
      </w:pPr>
      <w:r>
        <w:rPr>
          <w:rFonts w:ascii="Arial" w:cs="Arial" w:eastAsia="Arial" w:hAnsi="Arial"/>
          <w:sz w:val="19"/>
          <w:szCs w:val="19"/>
          <w:color w:val="auto"/>
        </w:rPr>
        <w:t>on a proposal to convert the entire class of those shares into Class A ordinary shares on a one-for-one basis, which requires the affirmative vote of the holders of at least 75% of the outstanding Class B ordinary shares for approval;</w:t>
      </w:r>
    </w:p>
    <w:p>
      <w:pPr>
        <w:spacing w:after="0" w:line="102" w:lineRule="exact"/>
        <w:rPr>
          <w:rFonts w:ascii="Arial" w:cs="Arial" w:eastAsia="Arial" w:hAnsi="Arial"/>
          <w:sz w:val="18"/>
          <w:szCs w:val="18"/>
          <w:color w:val="auto"/>
        </w:rPr>
      </w:pPr>
    </w:p>
    <w:p>
      <w:pPr>
        <w:ind w:left="640" w:hanging="31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9"/>
          <w:szCs w:val="19"/>
          <w:color w:val="auto"/>
        </w:rPr>
        <w:t>amendment of the rights of the Class B ordinary shares;</w:t>
      </w:r>
    </w:p>
    <w:p>
      <w:pPr>
        <w:spacing w:after="0" w:line="205" w:lineRule="exact"/>
        <w:rPr>
          <w:rFonts w:ascii="Arial" w:cs="Arial" w:eastAsia="Arial" w:hAnsi="Arial"/>
          <w:sz w:val="18"/>
          <w:szCs w:val="18"/>
          <w:color w:val="auto"/>
        </w:rPr>
      </w:pPr>
    </w:p>
    <w:p>
      <w:pPr>
        <w:ind w:left="640" w:hanging="31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9"/>
          <w:szCs w:val="19"/>
          <w:color w:val="auto"/>
        </w:rPr>
        <w:t>disproportionate distributions or recapitalizations that adversely impact the Class B ordinary shares; or</w:t>
      </w:r>
    </w:p>
    <w:p>
      <w:pPr>
        <w:spacing w:after="0" w:line="205" w:lineRule="exact"/>
        <w:rPr>
          <w:rFonts w:ascii="Arial" w:cs="Arial" w:eastAsia="Arial" w:hAnsi="Arial"/>
          <w:sz w:val="18"/>
          <w:szCs w:val="18"/>
          <w:color w:val="auto"/>
        </w:rPr>
      </w:pPr>
    </w:p>
    <w:p>
      <w:pPr>
        <w:ind w:left="640" w:hanging="31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9"/>
          <w:szCs w:val="19"/>
          <w:color w:val="auto"/>
        </w:rPr>
        <w:t>differing treatment to the Class B ordinary shares in a merger or similar transaction.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Certain of our shareholders are entitled to certain registration rights under the terms of our Investors’ Rights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meetings</w:t>
      </w:r>
    </w:p>
    <w:p>
      <w:pPr>
        <w:spacing w:after="0" w:line="119" w:lineRule="exact"/>
        <w:rPr>
          <w:sz w:val="20"/>
          <w:szCs w:val="20"/>
          <w:color w:val="auto"/>
        </w:rPr>
      </w:pPr>
    </w:p>
    <w:p>
      <w:pPr>
        <w:jc w:val="both"/>
        <w:ind w:firstLine="318"/>
        <w:spacing w:after="0" w:line="335"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the Articles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10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9"/>
          <w:szCs w:val="19"/>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The Articles contain procedural guidelines and disclosure items with respect to the submission of shareholder proposals for general meetings.</w:t>
      </w:r>
    </w:p>
    <w:p>
      <w:pPr>
        <w:spacing w:after="0" w:line="12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9"/>
          <w:szCs w:val="19"/>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123" w:lineRule="exact"/>
        <w:rPr>
          <w:sz w:val="20"/>
          <w:szCs w:val="20"/>
          <w:color w:val="auto"/>
        </w:rPr>
      </w:pPr>
    </w:p>
    <w:p>
      <w:pPr>
        <w:ind w:left="640" w:hanging="316"/>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8"/>
          <w:szCs w:val="18"/>
          <w:color w:val="auto"/>
        </w:rPr>
        <w:t>amendments to our articles of association (in addition to the approval by our board of directors, as required pursuant to our Articles );</w:t>
      </w:r>
    </w:p>
    <w:p>
      <w:pPr>
        <w:spacing w:after="0" w:line="217" w:lineRule="exact"/>
        <w:rPr>
          <w:rFonts w:ascii="Arial" w:cs="Arial" w:eastAsia="Arial" w:hAnsi="Arial"/>
          <w:sz w:val="17"/>
          <w:szCs w:val="17"/>
          <w:color w:val="auto"/>
        </w:rPr>
      </w:pPr>
    </w:p>
    <w:p>
      <w:pPr>
        <w:ind w:left="640" w:hanging="316"/>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9"/>
          <w:szCs w:val="19"/>
          <w:color w:val="auto"/>
        </w:rPr>
        <w:t>appointment, terms of service, or termination of service of our auditors;</w:t>
      </w:r>
    </w:p>
    <w:p>
      <w:pPr>
        <w:sectPr>
          <w:pgSz w:w="11900" w:h="16838" w:orient="portrait"/>
          <w:cols w:equalWidth="0" w:num="1">
            <w:col w:w="11240"/>
          </w:cols>
          <w:pgMar w:left="320" w:top="110"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9"/>
          <w:szCs w:val="19"/>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hanging="31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9"/>
          <w:szCs w:val="19"/>
          <w:color w:val="auto"/>
        </w:rPr>
        <w:t>appointment of directors, including external directors (if applicable);</w:t>
      </w:r>
    </w:p>
    <w:p>
      <w:pPr>
        <w:spacing w:after="0" w:line="205" w:lineRule="exact"/>
        <w:rPr>
          <w:rFonts w:ascii="Arial" w:cs="Arial" w:eastAsia="Arial" w:hAnsi="Arial"/>
          <w:sz w:val="18"/>
          <w:szCs w:val="18"/>
          <w:color w:val="auto"/>
        </w:rPr>
      </w:pPr>
    </w:p>
    <w:p>
      <w:pPr>
        <w:ind w:left="640" w:hanging="31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9"/>
          <w:szCs w:val="19"/>
          <w:color w:val="auto"/>
        </w:rPr>
        <w:t>approval of certain related party transactions;</w:t>
      </w:r>
    </w:p>
    <w:p>
      <w:pPr>
        <w:spacing w:after="0" w:line="205" w:lineRule="exact"/>
        <w:rPr>
          <w:rFonts w:ascii="Arial" w:cs="Arial" w:eastAsia="Arial" w:hAnsi="Arial"/>
          <w:sz w:val="18"/>
          <w:szCs w:val="18"/>
          <w:color w:val="auto"/>
        </w:rPr>
      </w:pPr>
    </w:p>
    <w:p>
      <w:pPr>
        <w:ind w:left="640" w:hanging="31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9"/>
          <w:szCs w:val="19"/>
          <w:color w:val="auto"/>
        </w:rPr>
        <w:t>increases or reductions of our authorized share capital;</w:t>
      </w:r>
    </w:p>
    <w:p>
      <w:pPr>
        <w:spacing w:after="0" w:line="205" w:lineRule="exact"/>
        <w:rPr>
          <w:rFonts w:ascii="Arial" w:cs="Arial" w:eastAsia="Arial" w:hAnsi="Arial"/>
          <w:sz w:val="18"/>
          <w:szCs w:val="18"/>
          <w:color w:val="auto"/>
        </w:rPr>
      </w:pPr>
    </w:p>
    <w:p>
      <w:pPr>
        <w:ind w:left="640" w:hanging="31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9"/>
          <w:szCs w:val="19"/>
          <w:color w:val="auto"/>
        </w:rPr>
        <w:t>a merger; and</w:t>
      </w:r>
    </w:p>
    <w:p>
      <w:pPr>
        <w:spacing w:after="0" w:line="205" w:lineRule="exact"/>
        <w:rPr>
          <w:rFonts w:ascii="Arial" w:cs="Arial" w:eastAsia="Arial" w:hAnsi="Arial"/>
          <w:sz w:val="18"/>
          <w:szCs w:val="18"/>
          <w:color w:val="auto"/>
        </w:rPr>
      </w:pPr>
    </w:p>
    <w:p>
      <w:pPr>
        <w:ind w:left="640" w:hanging="316"/>
        <w:spacing w:after="0" w:line="322" w:lineRule="auto"/>
        <w:tabs>
          <w:tab w:leader="none" w:pos="635" w:val="left"/>
        </w:tabs>
        <w:numPr>
          <w:ilvl w:val="0"/>
          <w:numId w:val="155"/>
        </w:numPr>
        <w:rPr>
          <w:rFonts w:ascii="Arial" w:cs="Arial" w:eastAsia="Arial" w:hAnsi="Arial"/>
          <w:sz w:val="18"/>
          <w:szCs w:val="18"/>
          <w:color w:val="auto"/>
        </w:rPr>
      </w:pPr>
      <w:r>
        <w:rPr>
          <w:rFonts w:ascii="Arial" w:cs="Arial" w:eastAsia="Arial" w:hAnsi="Arial"/>
          <w:sz w:val="19"/>
          <w:szCs w:val="19"/>
          <w:color w:val="auto"/>
        </w:rPr>
        <w:t>the exercise of our board of directors’ powers by a general meeting, if our board of directors is unable to exercise its powers and the exercise of any of its powers is required for our proper management.</w:t>
      </w:r>
    </w:p>
    <w:p>
      <w:pPr>
        <w:spacing w:after="0" w:line="103"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9"/>
          <w:szCs w:val="19"/>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Articles, shareholders are not permitted to take action by way of written consent in lieu of a meeting.</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Quorum</w:t>
      </w:r>
    </w:p>
    <w:p>
      <w:pPr>
        <w:spacing w:after="0" w:line="119"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8"/>
          <w:szCs w:val="18"/>
          <w:color w:val="auto"/>
        </w:rPr>
        <w:t>Pursuant to our Articles , holders of our Class A ordinary shares have one vote for each Class A ordinary share held and holders of our Class B ordinary shares have ten votes for each Class B ordinary share held on all matters submitted to a vote of the shareholders at a general meeting of shareholders. The quorum required for our general meetings of shareholders consists of at least two shareholders present in person or by proxy who hold or represent at least 33⅓% of the total outstanding voting power of our shares, except that if (i) any such general meeting was initiated by and convened pursuant to a resolution adopted by the board of directors and (ii) at the time of such general meeting we qualify to use the forms and rules of a “foreign private issuer,” the requisite quorum will consist of two or more shareholders present in person or by proxy who hold or represent at least 25% of the total outstanding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For so long as we are qualified to use the forms and rules of a “foreign private issuer” under the rules of the SEC,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Vote requirements</w:t>
      </w:r>
    </w:p>
    <w:p>
      <w:pPr>
        <w:spacing w:after="0" w:line="11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9"/>
          <w:szCs w:val="19"/>
          <w:color w:val="auto"/>
        </w:rPr>
        <w:t>The Articles provide that all resolutions of our shareholders require a simple majority vote (based on the number of votes cast, with each Class B ordinary share entitled to ten votes and each Class A ordinary share entitled to one vote), unless otherwise required by the Companies Law or by our Articles. Under the Companies Law, certain actions require the approval of a special majority, including: (i) an extraordinary transaction with a controlling shareholder or in</w:t>
      </w:r>
    </w:p>
    <w:p>
      <w:pPr>
        <w:sectPr>
          <w:pgSz w:w="11900" w:h="16838" w:orient="portrait"/>
          <w:cols w:equalWidth="0" w:num="1">
            <w:col w:w="11240"/>
          </w:cols>
          <w:pgMar w:left="320" w:top="110"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9"/>
          <w:szCs w:val="19"/>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which the controlling shareholder has a personal interest, (ii) the terms of employment or other engagement of a controlling shareholder of the Company or a controlling shareholder’s relative (even if such terms are not extraordinary) and (iii) certain compensation-related matters require specified approval. .</w:t>
      </w:r>
    </w:p>
    <w:p>
      <w:pPr>
        <w:spacing w:after="0" w:line="118"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9"/>
          <w:szCs w:val="19"/>
          <w:color w:val="auto"/>
        </w:rPr>
        <w:t>Under our Articles , the alteration of the rights, privileges, preferences or obligations of any class of our shares requires the approval by a resolution of the general meeting of the holders of all shares as one class, without any required separate resolution of any class of shares, except that any amendment to the rights, privileges, preferences or obligations of the Class B ordinary shares requires, in addition, a resolution adopted at a separate class meeting of the Class B ordinary shares by 75% of the total voting power of the then issued and outstanding Class B ordinary shares.</w:t>
      </w:r>
    </w:p>
    <w:p>
      <w:pPr>
        <w:spacing w:after="0" w:line="128"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9"/>
          <w:szCs w:val="19"/>
          <w:color w:val="auto"/>
        </w:rPr>
        <w:t>Under our Articles, the approval of the holders of at least 65% of the total voting power of our shareholders is generally required to: (i) remove any of our directors from office, (ii) to amend the provision requiring the approval of at least 65% of the total voting power of our shareholders to remove any of our directors from office, or (iii)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Access to corporate records</w:t>
      </w:r>
    </w:p>
    <w:p>
      <w:pPr>
        <w:spacing w:after="0" w:line="119"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9"/>
          <w:szCs w:val="19"/>
          <w:color w:val="auto"/>
        </w:rPr>
        <w:t>Under the Companies Law, all shareholders generally have the right to review minutes of our general meetings, our shareholder register (including with respect to material shareholders), our Articles, our consolidated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Acquisitions under Israeli law</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Full Tender Offer</w:t>
      </w:r>
    </w:p>
    <w:p>
      <w:pPr>
        <w:spacing w:after="0" w:line="206"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9"/>
          <w:szCs w:val="19"/>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w:t>
      </w:r>
    </w:p>
    <w:p>
      <w:pPr>
        <w:sectPr>
          <w:pgSz w:w="11900" w:h="16838" w:orient="portrait"/>
          <w:cols w:equalWidth="0" w:num="1">
            <w:col w:w="11240"/>
          </w:cols>
          <w:pgMar w:left="320" w:top="110"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9"/>
          <w:szCs w:val="19"/>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33" w:lineRule="auto"/>
        <w:rPr>
          <w:sz w:val="20"/>
          <w:szCs w:val="20"/>
          <w:color w:val="auto"/>
        </w:rPr>
      </w:pPr>
      <w:r>
        <w:rPr>
          <w:rFonts w:ascii="Arial" w:cs="Arial" w:eastAsia="Arial" w:hAnsi="Arial"/>
          <w:sz w:val="17"/>
          <w:szCs w:val="17"/>
          <w:color w:val="auto"/>
        </w:rPr>
        <w:t>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Special Tender Offer</w:t>
      </w:r>
    </w:p>
    <w:p>
      <w:pPr>
        <w:spacing w:after="0" w:line="206"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shareholders’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9"/>
          <w:szCs w:val="19"/>
          <w:color w:val="auto"/>
        </w:rPr>
        <w:t>In the event that a special tender offer is made, a company’s board of directors is required to express its opinion on the advisability of the offer, or may abstain from expressing any opinion if it is unable to do so, provided that it gives the reasons for its abstention. The board of directors shall also disclose any personal interest that any of the directors has with respect to the special</w:t>
      </w:r>
    </w:p>
    <w:p>
      <w:pPr>
        <w:sectPr>
          <w:pgSz w:w="11900" w:h="16838" w:orient="portrait"/>
          <w:cols w:equalWidth="0" w:num="1">
            <w:col w:w="11240"/>
          </w:cols>
          <w:pgMar w:left="320" w:top="110"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9"/>
          <w:szCs w:val="19"/>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95" w:lineRule="exact"/>
        <w:rPr>
          <w:sz w:val="20"/>
          <w:szCs w:val="20"/>
          <w:color w:val="auto"/>
        </w:rPr>
      </w:pPr>
    </w:p>
    <w:p>
      <w:pPr>
        <w:jc w:val="both"/>
        <w:ind w:firstLine="318"/>
        <w:spacing w:after="0" w:line="388" w:lineRule="auto"/>
        <w:rPr>
          <w:sz w:val="20"/>
          <w:szCs w:val="20"/>
          <w:color w:val="auto"/>
        </w:rPr>
      </w:pPr>
      <w:r>
        <w:rPr>
          <w:rFonts w:ascii="Arial" w:cs="Arial" w:eastAsia="Arial" w:hAnsi="Arial"/>
          <w:sz w:val="17"/>
          <w:szCs w:val="17"/>
          <w:color w:val="auto"/>
        </w:rPr>
        <w:t>If a special tender offer is accepted, then shareholders who did not respond to or that had objected to the offer may accept the offer within four days of the last day set for the acceptance of the offer and they will be considered to have accepted the offer from the first day it was made.</w:t>
      </w:r>
    </w:p>
    <w:p>
      <w:pPr>
        <w:spacing w:after="0" w:line="5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Merger</w:t>
      </w:r>
    </w:p>
    <w:p>
      <w:pPr>
        <w:spacing w:after="0" w:line="206" w:lineRule="exact"/>
        <w:rPr>
          <w:sz w:val="20"/>
          <w:szCs w:val="20"/>
          <w:color w:val="auto"/>
        </w:rPr>
      </w:pPr>
    </w:p>
    <w:p>
      <w:pPr>
        <w:jc w:val="both"/>
        <w:ind w:firstLine="318"/>
        <w:spacing w:after="0" w:line="335" w:lineRule="auto"/>
        <w:rPr>
          <w:sz w:val="20"/>
          <w:szCs w:val="20"/>
          <w:color w:val="auto"/>
        </w:rPr>
      </w:pPr>
      <w:r>
        <w:rPr>
          <w:rFonts w:ascii="Arial" w:cs="Arial" w:eastAsia="Arial" w:hAnsi="Arial"/>
          <w:sz w:val="17"/>
          <w:szCs w:val="17"/>
          <w:color w:val="auto"/>
        </w:rPr>
        <w:t>The Companies Law permits merger transactions if approved by each party’s board of directors and, unless certain conditions described under the Companies Law are met, a simple majority of the outstanding voting rights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04"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9"/>
          <w:szCs w:val="19"/>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votes of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w:t>
      </w:r>
    </w:p>
    <w:p>
      <w:pPr>
        <w:sectPr>
          <w:pgSz w:w="11900" w:h="16838" w:orient="portrait"/>
          <w:cols w:equalWidth="0" w:num="1">
            <w:col w:w="11240"/>
          </w:cols>
          <w:pgMar w:left="320" w:top="110"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9"/>
          <w:szCs w:val="19"/>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28"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108" w:lineRule="exact"/>
        <w:rPr>
          <w:sz w:val="20"/>
          <w:szCs w:val="20"/>
          <w:color w:val="auto"/>
        </w:rPr>
      </w:pPr>
    </w:p>
    <w:p>
      <w:pPr>
        <w:jc w:val="both"/>
        <w:ind w:firstLine="318"/>
        <w:spacing w:after="0" w:line="353" w:lineRule="auto"/>
        <w:rPr>
          <w:sz w:val="20"/>
          <w:szCs w:val="20"/>
          <w:color w:val="auto"/>
        </w:rPr>
      </w:pPr>
      <w:r>
        <w:rPr>
          <w:rFonts w:ascii="Arial" w:cs="Arial" w:eastAsia="Arial" w:hAnsi="Arial"/>
          <w:sz w:val="18"/>
          <w:szCs w:val="18"/>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Measures</w:t>
      </w:r>
    </w:p>
    <w:p>
      <w:pPr>
        <w:spacing w:after="0" w:line="212"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9"/>
          <w:szCs w:val="19"/>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attached to our issued and outstanding shares at a general meeting of shareholders. The convening of the meeting, the shareholders entitled to participate and the vote required to be obtained at such a meeting will be subject to the requirements set forth in the Companies Law and our amended articles of association.</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Borrowing powers</w:t>
      </w:r>
    </w:p>
    <w:p>
      <w:pPr>
        <w:spacing w:after="0" w:line="1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9"/>
          <w:szCs w:val="19"/>
          <w:color w:val="auto"/>
        </w:rPr>
        <w:t>Pursuant to the Companies Law and the our Articles, our board of directors may exercise all powers and take all actions that are not required under law or under the Articles to be exercised or taken by our shareholders, including the power to borrow money for company purposes.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capital</w:t>
      </w:r>
    </w:p>
    <w:p>
      <w:pPr>
        <w:spacing w:after="0" w:line="11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9"/>
          <w:szCs w:val="19"/>
          <w:color w:val="auto"/>
        </w:rPr>
        <w:t>The Articles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ectPr>
          <w:pgSz w:w="11900" w:h="16838" w:orient="portrait"/>
          <w:cols w:equalWidth="0" w:num="1">
            <w:col w:w="11240"/>
          </w:cols>
          <w:pgMar w:left="320" w:top="110"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9"/>
          <w:szCs w:val="19"/>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Exclusive forum</w:t>
      </w:r>
    </w:p>
    <w:p>
      <w:pPr>
        <w:spacing w:after="0" w:line="119"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8"/>
          <w:szCs w:val="18"/>
          <w:color w:val="auto"/>
        </w:rPr>
        <w:t>The Articles provide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such Securities Act actions, and accordingly, both state and federal courts have jurisdiction to entertain such claims. While the federal forum provision in the Articles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Articles. If a court were to find the choice of forum provision contained in the Articles to be inapplicable or unenforceable in an action, we may incur additional costs associated with resolving such action in other jurisdictions, which could materially adversely affect our business, financial condition and results of operations. Alternatively, if a court were to find these provisions of the Articles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This provision would not apply to suits brought to enforce a duty or liability created by the Exchange Act or any other claim for which the U.S. federal courts have exclusive jurisdiction.</w:t>
      </w:r>
    </w:p>
    <w:p>
      <w:pPr>
        <w:spacing w:after="0" w:line="11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9"/>
          <w:szCs w:val="19"/>
          <w:color w:val="auto"/>
        </w:rPr>
        <w:t>The Articles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119"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9"/>
          <w:szCs w:val="19"/>
          <w:color w:val="auto"/>
        </w:rPr>
        <w:t>The transfer agent and registrar for our ordinary shares is American Stock Transfer &amp; Trust Company, LLC. Its address is 6201 15th Avenue, Brooklyn, New York, 11219, and its telephone number is (800) 937-5449.</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Our Class A ordinary shares are listed on the NYSE under the symbol “RSKD.”</w:t>
      </w:r>
    </w:p>
    <w:p>
      <w:pPr>
        <w:sectPr>
          <w:pgSz w:w="11900" w:h="16838" w:orient="portrait"/>
          <w:cols w:equalWidth="0" w:num="1">
            <w:col w:w="11240"/>
          </w:cols>
          <w:pgMar w:left="320" w:top="110"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Eido Gal, Chief Executive Officer, certify that:</w:t>
      </w:r>
    </w:p>
    <w:p>
      <w:pPr>
        <w:spacing w:after="0" w:line="257" w:lineRule="exact"/>
        <w:rPr>
          <w:sz w:val="20"/>
          <w:szCs w:val="20"/>
          <w:color w:val="auto"/>
        </w:rPr>
      </w:pPr>
    </w:p>
    <w:p>
      <w:pPr>
        <w:ind w:left="1760" w:hanging="875"/>
        <w:spacing w:after="0"/>
        <w:tabs>
          <w:tab w:leader="none" w:pos="1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Riskified Ltd.;</w:t>
      </w:r>
    </w:p>
    <w:p>
      <w:pPr>
        <w:spacing w:after="0" w:line="362"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0"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60"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47" w:lineRule="exact"/>
        <w:rPr>
          <w:rFonts w:ascii="Arial" w:cs="Arial" w:eastAsia="Arial" w:hAnsi="Arial"/>
          <w:sz w:val="18"/>
          <w:szCs w:val="18"/>
          <w:color w:val="auto"/>
        </w:rPr>
      </w:pPr>
    </w:p>
    <w:p>
      <w:pPr>
        <w:jc w:val="both"/>
        <w:ind w:left="2620" w:right="20" w:hanging="874"/>
        <w:spacing w:after="0" w:line="214" w:lineRule="auto"/>
        <w:tabs>
          <w:tab w:leader="none" w:pos="2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61" w:lineRule="exact"/>
        <w:rPr>
          <w:rFonts w:ascii="Arial" w:cs="Arial" w:eastAsia="Arial" w:hAnsi="Arial"/>
          <w:sz w:val="18"/>
          <w:szCs w:val="18"/>
          <w:color w:val="auto"/>
        </w:rPr>
      </w:pPr>
    </w:p>
    <w:p>
      <w:pPr>
        <w:jc w:val="both"/>
        <w:ind w:left="2620" w:right="20" w:hanging="874"/>
        <w:spacing w:after="0" w:line="275" w:lineRule="auto"/>
        <w:tabs>
          <w:tab w:leader="none" w:pos="262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4" w:lineRule="exact"/>
        <w:rPr>
          <w:rFonts w:ascii="Arial" w:cs="Arial" w:eastAsia="Arial" w:hAnsi="Arial"/>
          <w:sz w:val="15"/>
          <w:szCs w:val="15"/>
          <w:color w:val="auto"/>
        </w:rPr>
      </w:pPr>
    </w:p>
    <w:p>
      <w:pPr>
        <w:jc w:val="both"/>
        <w:ind w:left="2620" w:right="20" w:hanging="874"/>
        <w:spacing w:after="0" w:line="219" w:lineRule="auto"/>
        <w:tabs>
          <w:tab w:leader="none" w:pos="2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47" w:lineRule="exact"/>
        <w:rPr>
          <w:rFonts w:ascii="Arial" w:cs="Arial" w:eastAsia="Arial" w:hAnsi="Arial"/>
          <w:sz w:val="18"/>
          <w:szCs w:val="18"/>
          <w:color w:val="auto"/>
        </w:rPr>
      </w:pPr>
    </w:p>
    <w:p>
      <w:pPr>
        <w:jc w:val="both"/>
        <w:ind w:left="2620" w:right="20" w:hanging="874"/>
        <w:spacing w:after="0" w:line="219" w:lineRule="auto"/>
        <w:tabs>
          <w:tab w:leader="none" w:pos="2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60"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60" w:lineRule="exact"/>
        <w:rPr>
          <w:rFonts w:ascii="Arial" w:cs="Arial" w:eastAsia="Arial" w:hAnsi="Arial"/>
          <w:sz w:val="18"/>
          <w:szCs w:val="18"/>
          <w:color w:val="auto"/>
        </w:rPr>
      </w:pPr>
    </w:p>
    <w:p>
      <w:pPr>
        <w:jc w:val="both"/>
        <w:ind w:left="2620" w:right="20" w:hanging="874"/>
        <w:spacing w:after="0" w:line="219" w:lineRule="auto"/>
        <w:tabs>
          <w:tab w:leader="none" w:pos="2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47" w:lineRule="exact"/>
        <w:rPr>
          <w:rFonts w:ascii="Arial" w:cs="Arial" w:eastAsia="Arial" w:hAnsi="Arial"/>
          <w:sz w:val="18"/>
          <w:szCs w:val="18"/>
          <w:color w:val="auto"/>
        </w:rPr>
      </w:pPr>
    </w:p>
    <w:p>
      <w:pPr>
        <w:ind w:left="2620" w:right="20" w:hanging="874"/>
        <w:spacing w:after="0" w:line="229" w:lineRule="auto"/>
        <w:tabs>
          <w:tab w:leader="none" w:pos="2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40"/>
          </w:cols>
          <w:pgMar w:left="320" w:top="1325" w:right="339" w:bottom="1440" w:gutter="0" w:footer="0" w:header="0"/>
        </w:sectPr>
      </w:pPr>
    </w:p>
    <w:bookmarkStart w:id="212" w:name="page213"/>
    <w:bookmarkEnd w:id="212"/>
    <w:p>
      <w:pPr>
        <w:spacing w:after="0"/>
        <w:tabs>
          <w:tab w:leader="none" w:pos="5560" w:val="left"/>
          <w:tab w:leader="none" w:pos="816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Eido 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33184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3331845" cy="16510"/>
                    </a:xfrm>
                    <a:prstGeom prst="rect">
                      <a:avLst/>
                    </a:prstGeom>
                    <a:noFill/>
                  </pic:spPr>
                </pic:pic>
              </a:graphicData>
            </a:graphic>
          </wp:anchor>
        </w:drawing>
      </w:r>
    </w:p>
    <w:p>
      <w:pPr>
        <w:spacing w:after="0" w:line="25"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Eido Gal</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7"/>
          <w:szCs w:val="17"/>
          <w:b w:val="1"/>
          <w:bCs w:val="1"/>
          <w:color w:val="auto"/>
        </w:rPr>
        <w:t>Chief Executive Officer</w:t>
      </w:r>
    </w:p>
    <w:p>
      <w:pPr>
        <w:jc w:val="right"/>
        <w:ind w:right="499"/>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119"/>
          </w:cols>
          <w:pgMar w:left="340" w:top="922"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u w:val="single" w:color="auto"/>
          <w:color w:val="auto"/>
        </w:rPr>
        <w:t>Exhibit 12.2</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Aglika Dotcheva, Chief Financial Officer, certify that:</w:t>
      </w:r>
    </w:p>
    <w:p>
      <w:pPr>
        <w:spacing w:after="0" w:line="257" w:lineRule="exact"/>
        <w:rPr>
          <w:sz w:val="20"/>
          <w:szCs w:val="20"/>
          <w:color w:val="auto"/>
        </w:rPr>
      </w:pPr>
    </w:p>
    <w:p>
      <w:pPr>
        <w:ind w:left="1760" w:hanging="875"/>
        <w:spacing w:after="0"/>
        <w:tabs>
          <w:tab w:leader="none" w:pos="17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Riskified Ltd.;</w:t>
      </w:r>
    </w:p>
    <w:p>
      <w:pPr>
        <w:spacing w:after="0" w:line="362"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0"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60"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47" w:lineRule="exact"/>
        <w:rPr>
          <w:rFonts w:ascii="Arial" w:cs="Arial" w:eastAsia="Arial" w:hAnsi="Arial"/>
          <w:sz w:val="18"/>
          <w:szCs w:val="18"/>
          <w:color w:val="auto"/>
        </w:rPr>
      </w:pPr>
    </w:p>
    <w:p>
      <w:pPr>
        <w:jc w:val="both"/>
        <w:ind w:left="2620" w:right="20" w:hanging="874"/>
        <w:spacing w:after="0" w:line="214" w:lineRule="auto"/>
        <w:tabs>
          <w:tab w:leader="none" w:pos="2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61" w:lineRule="exact"/>
        <w:rPr>
          <w:rFonts w:ascii="Arial" w:cs="Arial" w:eastAsia="Arial" w:hAnsi="Arial"/>
          <w:sz w:val="18"/>
          <w:szCs w:val="18"/>
          <w:color w:val="auto"/>
        </w:rPr>
      </w:pPr>
    </w:p>
    <w:p>
      <w:pPr>
        <w:jc w:val="both"/>
        <w:ind w:left="2620" w:right="20" w:hanging="874"/>
        <w:spacing w:after="0" w:line="275" w:lineRule="auto"/>
        <w:tabs>
          <w:tab w:leader="none" w:pos="262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4" w:lineRule="exact"/>
        <w:rPr>
          <w:rFonts w:ascii="Arial" w:cs="Arial" w:eastAsia="Arial" w:hAnsi="Arial"/>
          <w:sz w:val="15"/>
          <w:szCs w:val="15"/>
          <w:color w:val="auto"/>
        </w:rPr>
      </w:pPr>
    </w:p>
    <w:p>
      <w:pPr>
        <w:jc w:val="both"/>
        <w:ind w:left="2620" w:right="20" w:hanging="874"/>
        <w:spacing w:after="0" w:line="219" w:lineRule="auto"/>
        <w:tabs>
          <w:tab w:leader="none" w:pos="2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47" w:lineRule="exact"/>
        <w:rPr>
          <w:rFonts w:ascii="Arial" w:cs="Arial" w:eastAsia="Arial" w:hAnsi="Arial"/>
          <w:sz w:val="18"/>
          <w:szCs w:val="18"/>
          <w:color w:val="auto"/>
        </w:rPr>
      </w:pPr>
    </w:p>
    <w:p>
      <w:pPr>
        <w:jc w:val="both"/>
        <w:ind w:left="2620" w:right="20" w:hanging="874"/>
        <w:spacing w:after="0" w:line="219" w:lineRule="auto"/>
        <w:tabs>
          <w:tab w:leader="none" w:pos="2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60" w:lineRule="exact"/>
        <w:rPr>
          <w:rFonts w:ascii="Arial" w:cs="Arial" w:eastAsia="Arial" w:hAnsi="Arial"/>
          <w:sz w:val="18"/>
          <w:szCs w:val="18"/>
          <w:color w:val="auto"/>
        </w:rPr>
      </w:pPr>
    </w:p>
    <w:p>
      <w:pPr>
        <w:jc w:val="both"/>
        <w:ind w:left="1760" w:right="20" w:hanging="875"/>
        <w:spacing w:after="0" w:line="219" w:lineRule="auto"/>
        <w:tabs>
          <w:tab w:leader="none" w:pos="17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60" w:lineRule="exact"/>
        <w:rPr>
          <w:rFonts w:ascii="Arial" w:cs="Arial" w:eastAsia="Arial" w:hAnsi="Arial"/>
          <w:sz w:val="18"/>
          <w:szCs w:val="18"/>
          <w:color w:val="auto"/>
        </w:rPr>
      </w:pPr>
    </w:p>
    <w:p>
      <w:pPr>
        <w:jc w:val="both"/>
        <w:ind w:left="2620" w:right="20" w:hanging="874"/>
        <w:spacing w:after="0" w:line="219" w:lineRule="auto"/>
        <w:tabs>
          <w:tab w:leader="none" w:pos="2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47" w:lineRule="exact"/>
        <w:rPr>
          <w:rFonts w:ascii="Arial" w:cs="Arial" w:eastAsia="Arial" w:hAnsi="Arial"/>
          <w:sz w:val="18"/>
          <w:szCs w:val="18"/>
          <w:color w:val="auto"/>
        </w:rPr>
      </w:pPr>
    </w:p>
    <w:p>
      <w:pPr>
        <w:ind w:left="2620" w:right="20" w:hanging="874"/>
        <w:spacing w:after="0" w:line="229" w:lineRule="auto"/>
        <w:tabs>
          <w:tab w:leader="none" w:pos="2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40"/>
          </w:cols>
          <w:pgMar w:left="320" w:top="1325" w:right="339" w:bottom="1440" w:gutter="0" w:footer="0" w:header="0"/>
        </w:sectPr>
      </w:pPr>
    </w:p>
    <w:bookmarkStart w:id="214" w:name="page215"/>
    <w:bookmarkEnd w:id="214"/>
    <w:p>
      <w:pPr>
        <w:spacing w:after="0"/>
        <w:tabs>
          <w:tab w:leader="none" w:pos="5560" w:val="left"/>
          <w:tab w:leader="none" w:pos="788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Aglika Dotcheva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3318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3331845" cy="17145"/>
                    </a:xfrm>
                    <a:prstGeom prst="rect">
                      <a:avLst/>
                    </a:prstGeom>
                    <a:noFill/>
                  </pic:spPr>
                </pic:pic>
              </a:graphicData>
            </a:graphic>
          </wp:anchor>
        </w:drawing>
      </w:r>
    </w:p>
    <w:p>
      <w:pPr>
        <w:spacing w:after="0" w:line="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Aglika Dotcheva</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7"/>
          <w:szCs w:val="17"/>
          <w:b w:val="1"/>
          <w:bCs w:val="1"/>
          <w:color w:val="auto"/>
        </w:rPr>
        <w:t>Chief Financial Officer</w:t>
      </w:r>
    </w:p>
    <w:p>
      <w:pPr>
        <w:jc w:val="right"/>
        <w:ind w:right="499"/>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119"/>
          </w:cols>
          <w:pgMar w:left="340" w:top="922" w:right="1440" w:bottom="1440" w:gutter="0" w:footer="0" w:header="0"/>
        </w:sectPr>
      </w:pPr>
    </w:p>
    <w:bookmarkStart w:id="215" w:name="page216"/>
    <w:bookmarkEnd w:id="215"/>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13.1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400"/>
        <w:spacing w:after="0" w:line="199"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certification set forth below is being submitted in connection with the Annual Report on Form 20-F of Risikified Ltd. for the year ended December 31, 2021 (the “Report”) for the purpose of complying with Rule 13a-14(b) or Rule 15d-14(b) of the Securities Exchange Act of 1934 (the “Exchange Act”) and Section 1350 of Chapter 63 of Title 18 of the United States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Eido Gal, Chief Executive Officer, certify that to the best of my knowledge:</w:t>
      </w:r>
    </w:p>
    <w:p>
      <w:pPr>
        <w:spacing w:after="0" w:line="257" w:lineRule="exact"/>
        <w:rPr>
          <w:sz w:val="20"/>
          <w:szCs w:val="20"/>
          <w:color w:val="auto"/>
        </w:rPr>
      </w:pPr>
    </w:p>
    <w:p>
      <w:pPr>
        <w:ind w:left="1760" w:hanging="875"/>
        <w:spacing w:after="0"/>
        <w:tabs>
          <w:tab w:leader="none" w:pos="17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376" w:lineRule="exact"/>
        <w:rPr>
          <w:rFonts w:ascii="Arial" w:cs="Arial" w:eastAsia="Arial" w:hAnsi="Arial"/>
          <w:sz w:val="18"/>
          <w:szCs w:val="18"/>
          <w:color w:val="auto"/>
        </w:rPr>
      </w:pPr>
    </w:p>
    <w:p>
      <w:pPr>
        <w:ind w:left="1760" w:right="260" w:hanging="875"/>
        <w:spacing w:after="0" w:line="229" w:lineRule="auto"/>
        <w:tabs>
          <w:tab w:leader="none" w:pos="17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20"/>
        <w:spacing w:after="0"/>
        <w:tabs>
          <w:tab w:leader="none" w:pos="5580" w:val="left"/>
          <w:tab w:leader="none" w:pos="818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Eido 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10795</wp:posOffset>
            </wp:positionV>
            <wp:extent cx="333184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3331845" cy="17145"/>
                    </a:xfrm>
                    <a:prstGeom prst="rect">
                      <a:avLst/>
                    </a:prstGeom>
                    <a:noFill/>
                  </pic:spPr>
                </pic:pic>
              </a:graphicData>
            </a:graphic>
          </wp:anchor>
        </w:drawing>
      </w:r>
    </w:p>
    <w:p>
      <w:pPr>
        <w:spacing w:after="0" w:line="25"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Eido Gal</w:t>
      </w:r>
    </w:p>
    <w:p>
      <w:pPr>
        <w:ind w:left="7740"/>
        <w:spacing w:after="0" w:line="237" w:lineRule="auto"/>
        <w:rPr>
          <w:sz w:val="20"/>
          <w:szCs w:val="20"/>
          <w:color w:val="auto"/>
        </w:rPr>
      </w:pPr>
      <w:r>
        <w:rPr>
          <w:rFonts w:ascii="Arial" w:cs="Arial" w:eastAsia="Arial" w:hAnsi="Arial"/>
          <w:sz w:val="18"/>
          <w:szCs w:val="18"/>
          <w:b w:val="1"/>
          <w:bCs w:val="1"/>
          <w:color w:val="auto"/>
        </w:rPr>
        <w:t>Chief Executive Officer</w:t>
      </w:r>
    </w:p>
    <w:p>
      <w:pP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13.2</w:t>
      </w:r>
    </w:p>
    <w:p>
      <w:pPr>
        <w:jc w:val="center"/>
        <w:spacing w:after="0" w:line="199" w:lineRule="auto"/>
        <w:rPr>
          <w:sz w:val="20"/>
          <w:szCs w:val="20"/>
          <w:color w:val="auto"/>
        </w:rPr>
      </w:pPr>
      <w:r>
        <w:rPr>
          <w:rFonts w:ascii="Arial" w:cs="Arial" w:eastAsia="Arial" w:hAnsi="Arial"/>
          <w:sz w:val="18"/>
          <w:szCs w:val="18"/>
          <w:b w:val="1"/>
          <w:bCs w:val="1"/>
          <w:color w:val="auto"/>
        </w:rPr>
        <w:t>CERTIFICATION PURSUANT TO</w:t>
      </w:r>
    </w:p>
    <w:p>
      <w:pPr>
        <w:ind w:left="3400"/>
        <w:spacing w:after="0" w:line="200" w:lineRule="auto"/>
        <w:rPr>
          <w:sz w:val="20"/>
          <w:szCs w:val="20"/>
          <w:color w:val="auto"/>
        </w:rPr>
      </w:pPr>
      <w:r>
        <w:rPr>
          <w:rFonts w:ascii="Arial" w:cs="Arial" w:eastAsia="Arial" w:hAnsi="Arial"/>
          <w:sz w:val="18"/>
          <w:szCs w:val="18"/>
          <w:b w:val="1"/>
          <w:bCs w:val="1"/>
          <w:color w:val="auto"/>
        </w:rPr>
        <w:t>18 U.S.C. SECTION 1350, AS ADOPTED PURSUANT TO</w:t>
      </w: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certification set forth below is being submitted in connection with the Annual Report on Form 20-F of Riskified Ltd. for the year ended December 31, 2021 (the “Report”) for the purpose of complying with Rule 13a-14(b) or Rule 15d-14(b) of the Securities Exchange Act of 1934 (the “Exchange Act”) and Section 1350 of Chapter 63 of Title 18 of the United States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Aglika Dotcheva, Chief Financial Officer, certify that to the best of my knowledge:</w:t>
      </w:r>
    </w:p>
    <w:p>
      <w:pPr>
        <w:spacing w:after="0" w:line="257" w:lineRule="exact"/>
        <w:rPr>
          <w:sz w:val="20"/>
          <w:szCs w:val="20"/>
          <w:color w:val="auto"/>
        </w:rPr>
      </w:pPr>
    </w:p>
    <w:p>
      <w:pPr>
        <w:ind w:left="1760" w:hanging="875"/>
        <w:spacing w:after="0"/>
        <w:tabs>
          <w:tab w:leader="none" w:pos="17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376" w:lineRule="exact"/>
        <w:rPr>
          <w:rFonts w:ascii="Arial" w:cs="Arial" w:eastAsia="Arial" w:hAnsi="Arial"/>
          <w:sz w:val="18"/>
          <w:szCs w:val="18"/>
          <w:color w:val="auto"/>
        </w:rPr>
      </w:pPr>
    </w:p>
    <w:p>
      <w:pPr>
        <w:ind w:left="1760" w:right="260" w:hanging="875"/>
        <w:spacing w:after="0" w:line="229" w:lineRule="auto"/>
        <w:tabs>
          <w:tab w:leader="none" w:pos="17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20"/>
        <w:spacing w:after="0"/>
        <w:tabs>
          <w:tab w:leader="none" w:pos="5580" w:val="left"/>
          <w:tab w:leader="none" w:pos="790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Aglika Dotcheva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10795</wp:posOffset>
            </wp:positionV>
            <wp:extent cx="333184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3331845" cy="17145"/>
                    </a:xfrm>
                    <a:prstGeom prst="rect">
                      <a:avLst/>
                    </a:prstGeom>
                    <a:noFill/>
                  </pic:spPr>
                </pic:pic>
              </a:graphicData>
            </a:graphic>
          </wp:anchor>
        </w:drawing>
      </w:r>
    </w:p>
    <w:p>
      <w:pPr>
        <w:spacing w:after="0" w:line="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Aglika Dotcheva</w:t>
      </w:r>
    </w:p>
    <w:p>
      <w:pPr>
        <w:ind w:left="7740"/>
        <w:spacing w:after="0" w:line="237" w:lineRule="auto"/>
        <w:rPr>
          <w:sz w:val="20"/>
          <w:szCs w:val="20"/>
          <w:color w:val="auto"/>
        </w:rPr>
      </w:pPr>
      <w:r>
        <w:rPr>
          <w:rFonts w:ascii="Arial" w:cs="Arial" w:eastAsia="Arial" w:hAnsi="Arial"/>
          <w:sz w:val="18"/>
          <w:szCs w:val="18"/>
          <w:b w:val="1"/>
          <w:bCs w:val="1"/>
          <w:color w:val="auto"/>
        </w:rPr>
        <w:t>Chief Financial Officer</w:t>
      </w:r>
    </w:p>
    <w:p>
      <w:pPr>
        <w:ind w:left="75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15.1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4" w:lineRule="exact"/>
        <w:rPr>
          <w:sz w:val="20"/>
          <w:szCs w:val="20"/>
          <w:color w:val="auto"/>
        </w:rPr>
      </w:pPr>
    </w:p>
    <w:p>
      <w:pPr>
        <w:jc w:val="both"/>
        <w:ind w:firstLine="433"/>
        <w:spacing w:after="0" w:line="232" w:lineRule="auto"/>
        <w:rPr>
          <w:sz w:val="20"/>
          <w:szCs w:val="20"/>
          <w:color w:val="auto"/>
        </w:rPr>
      </w:pPr>
      <w:r>
        <w:rPr>
          <w:rFonts w:ascii="Arial" w:cs="Arial" w:eastAsia="Arial" w:hAnsi="Arial"/>
          <w:sz w:val="21"/>
          <w:szCs w:val="21"/>
          <w:color w:val="auto"/>
        </w:rPr>
        <w:t>We consent to the incorporation by reference in the Registration Statement (Form S-8 No. 333- 258461) pertaining to the 2013 Amended and Restated Equity Incentive Plan, Amended and Restated U.S. Sub-Plan to the Amended and Restated 2013 Equity Incentive Plan, 2021 Share Incentive Plan and 2021 Employee Share Purchase Plan of Riskified Ltd. of our report dated February 25, 2022, with respect to the consolidated financial statements of Riskified Ltd. included in this Annual Report (Form 20-F) for the year ended December 31, 2021.</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48297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3482975" cy="1714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Kost Forer Gabbay &amp; Kasierer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Member of Ernst &amp; Young Global</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Tel-Aviv, Israel</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440"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u w:val="single" w:color="auto"/>
          <w:color w:val="auto"/>
        </w:rPr>
        <w:t>Exhibit 8.1</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7020" w:type="dxa"/>
            <w:vAlign w:val="bottom"/>
            <w:gridSpan w:val="3"/>
          </w:tcPr>
          <w:p>
            <w:pPr>
              <w:ind w:left="280"/>
              <w:spacing w:after="0"/>
              <w:rPr>
                <w:sz w:val="20"/>
                <w:szCs w:val="20"/>
                <w:color w:val="auto"/>
              </w:rPr>
            </w:pPr>
            <w:r>
              <w:rPr>
                <w:rFonts w:ascii="Arial" w:cs="Arial" w:eastAsia="Arial" w:hAnsi="Arial"/>
                <w:sz w:val="18"/>
                <w:szCs w:val="18"/>
                <w:b w:val="1"/>
                <w:bCs w:val="1"/>
                <w:color w:val="auto"/>
              </w:rPr>
              <w:t>Subsidiaries of the Registrant</w:t>
            </w:r>
          </w:p>
        </w:tc>
      </w:tr>
      <w:tr>
        <w:trPr>
          <w:trHeight w:val="44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Name of Subsidiary</w:t>
            </w: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Jurisdiction of Organization</w:t>
            </w:r>
          </w:p>
        </w:tc>
      </w:tr>
      <w:tr>
        <w:trPr>
          <w:trHeight w:val="225"/>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Riskified, Inc.</w:t>
            </w: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w w:val="97"/>
              </w:rPr>
              <w:t>Riskified (Shanghai) Information Technology Co., Ltd.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Riskified (UK) Ltd.</w:t>
            </w: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24"/>
        </w:trPr>
        <w:tc>
          <w:tcPr>
            <w:tcW w:w="4220" w:type="dxa"/>
            <w:vAlign w:val="bottom"/>
          </w:tcPr>
          <w:p>
            <w:pPr>
              <w:ind w:left="20"/>
              <w:spacing w:after="0"/>
              <w:rPr>
                <w:sz w:val="20"/>
                <w:szCs w:val="20"/>
                <w:color w:val="auto"/>
              </w:rPr>
            </w:pPr>
            <w:r>
              <w:rPr>
                <w:rFonts w:ascii="Arial" w:cs="Arial" w:eastAsia="Arial" w:hAnsi="Arial"/>
                <w:sz w:val="18"/>
                <w:szCs w:val="18"/>
                <w:color w:val="auto"/>
              </w:rPr>
              <w:t>Riskified (Australia) Pty Ltd.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Australia</w:t>
            </w:r>
          </w:p>
        </w:tc>
      </w:tr>
    </w:tbl>
    <w:p>
      <w:pPr>
        <w:spacing w:after="0" w:line="1" w:lineRule="exact"/>
        <w:rPr>
          <w:sz w:val="20"/>
          <w:szCs w:val="20"/>
          <w:color w:val="auto"/>
        </w:rPr>
      </w:pPr>
    </w:p>
    <w:sectPr>
      <w:pgSz w:w="11900" w:h="16838" w:orient="portrait"/>
      <w:cols w:equalWidth="0" w:num="1">
        <w:col w:w="11240"/>
      </w:cols>
      <w:pgMar w:left="320" w:top="1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1)"/>
      <w:numFmt w:val="decimal"/>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1)"/>
      <w:numFmt w:val="decimal"/>
      <w:start w:val="1"/>
    </w:lvl>
  </w:abstractNum>
  <w:abstractNum w:abstractNumId="34">
    <w:nsid w:val="50801EE1"/>
    <w:multiLevelType w:val="hybridMultilevel"/>
    <w:lvl w:ilvl="0">
      <w:lvlJc w:val="left"/>
      <w:lvlText w:val="(%1)"/>
      <w:numFmt w:val="decimal"/>
      <w:start w:val="2"/>
    </w:lvl>
    <w:lvl w:ilvl="1">
      <w:lvlJc w:val="left"/>
      <w:lvlText w:val="•"/>
      <w:numFmt w:val="bullet"/>
      <w:start w:val="1"/>
    </w:lvl>
  </w:abstractNum>
  <w:abstractNum w:abstractNumId="35">
    <w:nsid w:val="488AC1A"/>
    <w:multiLevelType w:val="hybridMultilevel"/>
    <w:lvl w:ilvl="0">
      <w:lvlJc w:val="left"/>
      <w:lvlText w:val="(%1)"/>
      <w:numFmt w:val="decimal"/>
      <w:start w:val="3"/>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1)"/>
      <w:numFmt w:val="lowerRoman"/>
      <w:start w:val="2"/>
    </w:lvl>
  </w:abstractNum>
  <w:abstractNum w:abstractNumId="40">
    <w:nsid w:val="6A5F7029"/>
    <w:multiLevelType w:val="hybridMultilevel"/>
    <w:lvl w:ilvl="0">
      <w:lvlJc w:val="left"/>
      <w:lvlText w:val="%1."/>
      <w:numFmt w:val="upperLetter"/>
      <w:start w:val="1"/>
    </w:lvl>
  </w:abstractNum>
  <w:abstractNum w:abstractNumId="41">
    <w:nsid w:val="7D5E18F8"/>
    <w:multiLevelType w:val="hybridMultilevel"/>
    <w:lvl w:ilvl="0">
      <w:lvlJc w:val="left"/>
      <w:lvlText w:val="%1."/>
      <w:numFmt w:val="upperLetter"/>
      <w:start w:val="2"/>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1)"/>
      <w:numFmt w:val="decimal"/>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1."/>
      <w:numFmt w:val="upperLetter"/>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
      <w:numFmt w:val="bullet"/>
      <w:start w:val="1"/>
    </w:lvl>
  </w:abstractNum>
  <w:abstractNum w:abstractNumId="68">
    <w:nsid w:val="E7FFA2B"/>
    <w:multiLevelType w:val="hybridMultilevel"/>
    <w:lvl w:ilvl="0">
      <w:lvlJc w:val="left"/>
      <w:lvlText w:val="(%1)"/>
      <w:numFmt w:val="decimal"/>
      <w:start w:val="1"/>
    </w:lvl>
  </w:abstractNum>
  <w:abstractNum w:abstractNumId="69">
    <w:nsid w:val="3C5991AA"/>
    <w:multiLevelType w:val="hybridMultilevel"/>
    <w:lvl w:ilvl="0">
      <w:lvlJc w:val="left"/>
      <w:lvlText w:val="(%1)"/>
      <w:numFmt w:val="decimal"/>
      <w:start w:val="3"/>
    </w:lvl>
    <w:lvl w:ilvl="1">
      <w:lvlJc w:val="left"/>
      <w:lvlText w:val="-"/>
      <w:numFmt w:val="bullet"/>
      <w:start w:val="1"/>
    </w:lvl>
  </w:abstractNum>
  <w:abstractNum w:abstractNumId="70">
    <w:nsid w:val="4BD8591A"/>
    <w:multiLevelType w:val="hybridMultilevel"/>
    <w:lvl w:ilvl="0">
      <w:lvlJc w:val="left"/>
      <w:lvlText w:val="(%1)"/>
      <w:numFmt w:val="decimal"/>
      <w:start w:val="10"/>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1)"/>
      <w:numFmt w:val="lowerRoman"/>
      <w:start w:val="5"/>
    </w:lvl>
  </w:abstractNum>
  <w:abstractNum w:abstractNumId="74">
    <w:nsid w:val="6C80EC70"/>
    <w:multiLevelType w:val="hybridMultilevel"/>
    <w:lvl w:ilvl="0">
      <w:lvlJc w:val="left"/>
      <w:lvlText w:val="%1."/>
      <w:numFmt w:val="upperLetter"/>
      <w:start w:val="9"/>
    </w:lvl>
  </w:abstractNum>
  <w:abstractNum w:abstractNumId="75">
    <w:nsid w:val="379E21B5"/>
    <w:multiLevelType w:val="hybridMultilevel"/>
    <w:lvl w:ilvl="0">
      <w:lvlJc w:val="left"/>
      <w:lvlText w:val="4"/>
      <w:numFmt w:val="bullet"/>
      <w:start w:val="1"/>
    </w:lvl>
  </w:abstractNum>
  <w:abstractNum w:abstractNumId="76">
    <w:nsid w:val="69E373"/>
    <w:multiLevelType w:val="hybridMultilevel"/>
    <w:lvl w:ilvl="0">
      <w:lvlJc w:val="left"/>
      <w:lvlText w:val="†"/>
      <w:numFmt w:val="bullet"/>
      <w:start w:val="1"/>
    </w:lvl>
    <w:lvl w:ilvl="1">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1)"/>
      <w:numFmt w:val="lowerRoman"/>
      <w:start w:val="1"/>
    </w:lvl>
  </w:abstractNum>
  <w:abstractNum w:abstractNumId="79">
    <w:nsid w:val="6AA7B75C"/>
    <w:multiLevelType w:val="hybridMultilevel"/>
    <w:lvl w:ilvl="0">
      <w:lvlJc w:val="left"/>
      <w:lvlText w:val="(%1)"/>
      <w:numFmt w:val="lowerRoman"/>
      <w:start w:val="2"/>
    </w:lvl>
  </w:abstractNum>
  <w:abstractNum w:abstractNumId="80">
    <w:nsid w:val="1DF029D3"/>
    <w:multiLevelType w:val="hybridMultilevel"/>
    <w:lvl w:ilvl="0">
      <w:lvlJc w:val="left"/>
      <w:lvlText w:val="*"/>
      <w:numFmt w:val="bullet"/>
      <w:start w:val="1"/>
    </w:lvl>
  </w:abstractNum>
  <w:abstractNum w:abstractNumId="81">
    <w:nsid w:val="5675FF36"/>
    <w:multiLevelType w:val="hybridMultilevel"/>
    <w:lvl w:ilvl="0">
      <w:lvlJc w:val="left"/>
      <w:lvlText w:val="%1."/>
      <w:numFmt w:val="decimal"/>
      <w:start w:val="1"/>
    </w:lvl>
  </w:abstractNum>
  <w:abstractNum w:abstractNumId="82">
    <w:nsid w:val="3DD15094"/>
    <w:multiLevelType w:val="hybridMultilevel"/>
    <w:lvl w:ilvl="0">
      <w:lvlJc w:val="left"/>
      <w:lvlText w:val="%1."/>
      <w:numFmt w:val="decimal"/>
      <w:start w:val="2"/>
    </w:lvl>
  </w:abstractNum>
  <w:abstractNum w:abstractNumId="83">
    <w:nsid w:val="3DB012B3"/>
    <w:multiLevelType w:val="hybridMultilevel"/>
    <w:lvl w:ilvl="0">
      <w:lvlJc w:val="left"/>
      <w:lvlText w:val="%1."/>
      <w:numFmt w:val="decimal"/>
      <w:start w:val="3"/>
    </w:lvl>
  </w:abstractNum>
  <w:abstractNum w:abstractNumId="84">
    <w:nsid w:val="2708C9AF"/>
    <w:multiLevelType w:val="hybridMultilevel"/>
    <w:lvl w:ilvl="0">
      <w:lvlJc w:val="left"/>
      <w:lvlText w:val="%1."/>
      <w:numFmt w:val="decimal"/>
      <w:start w:val="4"/>
    </w:lvl>
  </w:abstractNum>
  <w:abstractNum w:abstractNumId="85">
    <w:nsid w:val="5B25ACE2"/>
    <w:multiLevelType w:val="hybridMultilevel"/>
    <w:lvl w:ilvl="0">
      <w:lvlJc w:val="left"/>
      <w:lvlText w:val="%1."/>
      <w:numFmt w:val="decimal"/>
      <w:start w:val="5"/>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1)"/>
      <w:numFmt w:val="decimal"/>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1)"/>
      <w:numFmt w:val="decimal"/>
      <w:start w:val="1"/>
    </w:lvl>
  </w:abstractNum>
  <w:abstractNum w:abstractNumId="91">
    <w:nsid w:val="56438D15"/>
    <w:multiLevelType w:val="hybridMultilevel"/>
    <w:lvl w:ilvl="0">
      <w:lvlJc w:val="left"/>
      <w:lvlText w:val="%1."/>
      <w:numFmt w:val="decimal"/>
      <w:start w:val="1"/>
    </w:lvl>
  </w:abstractNum>
  <w:abstractNum w:abstractNumId="92">
    <w:nsid w:val="519E3149"/>
    <w:multiLevelType w:val="hybridMultilevel"/>
    <w:lvl w:ilvl="0">
      <w:lvlJc w:val="left"/>
      <w:lvlText w:val="(%1)"/>
      <w:numFmt w:val="lowerLetter"/>
      <w:start w:val="1"/>
    </w:lvl>
  </w:abstractNum>
  <w:abstractNum w:abstractNumId="93">
    <w:nsid w:val="2C6E4AFD"/>
    <w:multiLevelType w:val="hybridMultilevel"/>
    <w:lvl w:ilvl="0">
      <w:lvlJc w:val="left"/>
      <w:lvlText w:val="(%1)"/>
      <w:numFmt w:val="lowerLetter"/>
      <w:start w:val="2"/>
    </w:lvl>
    <w:lvl w:ilvl="1">
      <w:lvlJc w:val="left"/>
      <w:lvlText w:val="-"/>
      <w:numFmt w:val="bullet"/>
      <w:start w:val="1"/>
    </w:lvl>
  </w:abstractNum>
  <w:abstractNum w:abstractNumId="94">
    <w:nsid w:val="17A1B582"/>
    <w:multiLevelType w:val="hybridMultilevel"/>
    <w:lvl w:ilvl="0">
      <w:lvlJc w:val="left"/>
      <w:lvlText w:val="(%1)"/>
      <w:numFmt w:val="lowerLetter"/>
      <w:start w:val="3"/>
    </w:lvl>
  </w:abstractNum>
  <w:abstractNum w:abstractNumId="95">
    <w:nsid w:val="4DF72E4E"/>
    <w:multiLevelType w:val="hybridMultilevel"/>
    <w:lvl w:ilvl="0">
      <w:lvlJc w:val="left"/>
      <w:lvlText w:val="%1."/>
      <w:numFmt w:val="decimal"/>
      <w:start w:val="2"/>
    </w:lvl>
  </w:abstractNum>
  <w:abstractNum w:abstractNumId="96">
    <w:nsid w:val="5046B5A9"/>
    <w:multiLevelType w:val="hybridMultilevel"/>
    <w:lvl w:ilvl="0">
      <w:lvlJc w:val="left"/>
      <w:lvlText w:val="%1."/>
      <w:numFmt w:val="decimal"/>
      <w:start w:val="3"/>
    </w:lvl>
  </w:abstractNum>
  <w:abstractNum w:abstractNumId="97">
    <w:nsid w:val="5D888A0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8">
    <w:nsid w:val="2A082C70"/>
    <w:multiLevelType w:val="hybridMultilevel"/>
    <w:lvl w:ilvl="0">
      <w:lvlJc w:val="left"/>
      <w:lvlText w:val="%1"/>
      <w:numFmt w:val="lowerLetter"/>
      <w:start w:val="1"/>
    </w:lvl>
    <w:lvl w:ilvl="1">
      <w:lvlJc w:val="left"/>
      <w:lvlText w:val="(%2)"/>
      <w:numFmt w:val="lowerLetter"/>
      <w:start w:val="35"/>
    </w:lvl>
  </w:abstractNum>
  <w:abstractNum w:abstractNumId="99">
    <w:nsid w:val="5EC6AFD4"/>
    <w:multiLevelType w:val="hybridMultilevel"/>
    <w:lvl w:ilvl="0">
      <w:lvlJc w:val="left"/>
      <w:lvlText w:val="(%1)"/>
      <w:numFmt w:val="lowerLetter"/>
      <w:start w:val="2"/>
    </w:lvl>
    <w:lvl w:ilvl="1">
      <w:lvlJc w:val="left"/>
      <w:lvlText w:val="(%2)"/>
      <w:numFmt w:val="lowerLetter"/>
      <w:start w:val="9"/>
    </w:lvl>
  </w:abstractNum>
  <w:abstractNum w:abstractNumId="100">
    <w:nsid w:val="19E21BB2"/>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101">
    <w:nsid w:val="75E0858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02">
    <w:nsid w:val="57A61A29"/>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103">
    <w:nsid w:val="5399C654"/>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104">
    <w:nsid w:val="20EE134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
      <w:numFmt w:val="bullet"/>
      <w:start w:val="1"/>
    </w:lvl>
  </w:abstractNum>
  <w:abstractNum w:abstractNumId="105">
    <w:nsid w:val="4427069A"/>
    <w:multiLevelType w:val="hybridMultilevel"/>
    <w:lvl w:ilvl="0">
      <w:lvlJc w:val="left"/>
      <w:lvlText w:val="(%1)"/>
      <w:numFmt w:val="lowerLetter"/>
      <w:start w:val="5"/>
    </w:lvl>
    <w:lvl w:ilvl="1">
      <w:lvlJc w:val="left"/>
      <w:lvlText w:val="(%2)"/>
      <w:numFmt w:val="lowerLetter"/>
      <w:start w:val="35"/>
    </w:lvl>
    <w:lvl w:ilvl="2">
      <w:lvlJc w:val="left"/>
      <w:lvlText w:val="%3"/>
      <w:numFmt w:val="lowerLetter"/>
      <w:start w:val="1"/>
    </w:lvl>
    <w:lvl w:ilvl="3">
      <w:lvlJc w:val="left"/>
      <w:lvlText w:val="-"/>
      <w:numFmt w:val="bullet"/>
      <w:start w:val="1"/>
    </w:lvl>
  </w:abstractNum>
  <w:abstractNum w:abstractNumId="106">
    <w:nsid w:val="B37E80A"/>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107">
    <w:nsid w:val="2157F6BC"/>
    <w:multiLevelType w:val="hybridMultilevel"/>
    <w:lvl w:ilvl="0">
      <w:lvlJc w:val="left"/>
      <w:lvlText w:val="(%1)"/>
      <w:numFmt w:val="lowerRoman"/>
      <w:start w:val="5"/>
    </w:lvl>
    <w:lvl w:ilvl="1">
      <w:lvlJc w:val="left"/>
      <w:lvlText w:val="-"/>
      <w:numFmt w:val="bullet"/>
      <w:start w:val="1"/>
    </w:lvl>
  </w:abstractNum>
  <w:abstractNum w:abstractNumId="108">
    <w:nsid w:val="704E1DD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9">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10">
    <w:nsid w:val="BFFAE1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11">
    <w:nsid w:val="E3E47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2">
    <w:nsid w:val="2E48F044"/>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13">
    <w:nsid w:val="49D0FEAC"/>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114">
    <w:nsid w:val="4BEE5A5B"/>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115">
    <w:nsid w:val="5551B9F3"/>
    <w:multiLevelType w:val="hybridMultilevel"/>
    <w:lvl w:ilvl="0">
      <w:lvlJc w:val="left"/>
      <w:lvlText w:val="%1."/>
      <w:numFmt w:val="decimal"/>
      <w:start w:val="17"/>
    </w:lvl>
    <w:lvl w:ilvl="1">
      <w:lvlJc w:val="left"/>
      <w:lvlText w:val="(%2)"/>
      <w:numFmt w:val="lowerLetter"/>
      <w:start w:val="1"/>
    </w:lvl>
  </w:abstractNum>
  <w:abstractNum w:abstractNumId="116">
    <w:nsid w:val="24F6AB8E"/>
    <w:multiLevelType w:val="hybridMultilevel"/>
    <w:lvl w:ilvl="0">
      <w:lvlJc w:val="left"/>
      <w:lvlText w:val="%1."/>
      <w:numFmt w:val="decimal"/>
      <w:start w:val="20"/>
    </w:lvl>
    <w:lvl w:ilvl="1">
      <w:lvlJc w:val="left"/>
      <w:lvlText w:val="-"/>
      <w:numFmt w:val="bullet"/>
      <w:start w:val="1"/>
    </w:lvl>
  </w:abstractNum>
  <w:abstractNum w:abstractNumId="117">
    <w:nsid w:val="634C574C"/>
    <w:multiLevelType w:val="hybridMultilevel"/>
    <w:lvl w:ilvl="0">
      <w:lvlJc w:val="left"/>
      <w:lvlText w:val="%1."/>
      <w:numFmt w:val="decimal"/>
      <w:start w:val="22"/>
    </w:lvl>
    <w:lvl w:ilvl="1">
      <w:lvlJc w:val="left"/>
      <w:lvlText w:val="(%2)"/>
      <w:numFmt w:val="lowerLetter"/>
      <w:start w:val="1"/>
    </w:lvl>
  </w:abstractNum>
  <w:abstractNum w:abstractNumId="118">
    <w:nsid w:val="24E99DD7"/>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119">
    <w:nsid w:val="2A31B62D"/>
    <w:multiLevelType w:val="hybridMultilevel"/>
    <w:lvl w:ilvl="0">
      <w:lvlJc w:val="left"/>
      <w:lvlText w:val="(%1)"/>
      <w:numFmt w:val="lowerLetter"/>
      <w:start w:val="2"/>
    </w:lvl>
    <w:lvl w:ilvl="1">
      <w:lvlJc w:val="left"/>
      <w:lvlText w:val="-"/>
      <w:numFmt w:val="bullet"/>
      <w:start w:val="1"/>
    </w:lvl>
  </w:abstractNum>
  <w:abstractNum w:abstractNumId="120">
    <w:nsid w:val="1849C29B"/>
    <w:multiLevelType w:val="hybridMultilevel"/>
    <w:lvl w:ilvl="0">
      <w:lvlJc w:val="left"/>
      <w:lvlText w:val="%1"/>
      <w:numFmt w:val="decimal"/>
      <w:start w:val="1"/>
    </w:lvl>
    <w:lvl w:ilvl="1">
      <w:lvlJc w:val="left"/>
      <w:lvlText w:val="(%2)"/>
      <w:numFmt w:val="lowerLetter"/>
      <w:start w:val="3"/>
    </w:lvl>
  </w:abstractNum>
  <w:abstractNum w:abstractNumId="121">
    <w:nsid w:val="7DFF9D09"/>
    <w:multiLevelType w:val="hybridMultilevel"/>
    <w:lvl w:ilvl="0">
      <w:lvlJc w:val="left"/>
      <w:lvlText w:val="%1."/>
      <w:numFmt w:val="decimal"/>
      <w:start w:val="27"/>
    </w:lvl>
    <w:lvl w:ilvl="1">
      <w:lvlJc w:val="left"/>
      <w:lvlText w:val="(%2)"/>
      <w:numFmt w:val="lowerLetter"/>
      <w:start w:val="1"/>
    </w:lvl>
  </w:abstractNum>
  <w:abstractNum w:abstractNumId="122">
    <w:nsid w:val="754342"/>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123">
    <w:nsid w:val="69E7F3E5"/>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124">
    <w:nsid w:val="2A6DE806"/>
    <w:multiLevelType w:val="hybridMultilevel"/>
    <w:lvl w:ilvl="0">
      <w:lvlJc w:val="left"/>
      <w:lvlText w:val="%1."/>
      <w:numFmt w:val="decimal"/>
      <w:start w:val="33"/>
    </w:lvl>
    <w:lvl w:ilvl="1">
      <w:lvlJc w:val="left"/>
      <w:lvlText w:val="(%2)"/>
      <w:numFmt w:val="lowerLetter"/>
      <w:start w:val="1"/>
    </w:lvl>
  </w:abstractNum>
  <w:abstractNum w:abstractNumId="125">
    <w:nsid w:val="1816F8C4"/>
    <w:multiLevelType w:val="hybridMultilevel"/>
    <w:lvl w:ilvl="0">
      <w:lvlJc w:val="left"/>
      <w:lvlText w:val="%1."/>
      <w:numFmt w:val="decimal"/>
      <w:start w:val="34"/>
    </w:lvl>
    <w:lvl w:ilvl="1">
      <w:lvlJc w:val="left"/>
      <w:lvlText w:val="(%2)"/>
      <w:numFmt w:val="lowerLetter"/>
      <w:start w:val="1"/>
    </w:lvl>
  </w:abstractNum>
  <w:abstractNum w:abstractNumId="126">
    <w:nsid w:val="37DF2233"/>
    <w:multiLevelType w:val="hybridMultilevel"/>
    <w:lvl w:ilvl="0">
      <w:lvlJc w:val="left"/>
      <w:lvlText w:val="(%1)"/>
      <w:numFmt w:val="lowerLetter"/>
      <w:start w:val="2"/>
    </w:lvl>
    <w:lvl w:ilvl="1">
      <w:lvlJc w:val="left"/>
      <w:lvlText w:val="-"/>
      <w:numFmt w:val="bullet"/>
      <w:start w:val="1"/>
    </w:lvl>
  </w:abstractNum>
  <w:abstractNum w:abstractNumId="127">
    <w:nsid w:val="7AB49DAF"/>
    <w:multiLevelType w:val="hybridMultilevel"/>
    <w:lvl w:ilvl="0">
      <w:lvlJc w:val="left"/>
      <w:lvlText w:val="%1."/>
      <w:numFmt w:val="decimal"/>
      <w:start w:val="35"/>
    </w:lvl>
    <w:lvl w:ilvl="1">
      <w:lvlJc w:val="left"/>
      <w:lvlText w:val="(%2)"/>
      <w:numFmt w:val="lowerLetter"/>
      <w:start w:val="1"/>
    </w:lvl>
  </w:abstractNum>
  <w:abstractNum w:abstractNumId="128">
    <w:nsid w:val="759F82CD"/>
    <w:multiLevelType w:val="hybridMultilevel"/>
    <w:lvl w:ilvl="0">
      <w:lvlJc w:val="left"/>
      <w:lvlText w:val="%1."/>
      <w:numFmt w:val="decimal"/>
      <w:start w:val="36"/>
    </w:lvl>
    <w:lvl w:ilvl="1">
      <w:lvlJc w:val="left"/>
      <w:lvlText w:val="(%2)"/>
      <w:numFmt w:val="lowerLetter"/>
      <w:start w:val="1"/>
    </w:lvl>
    <w:lvl w:ilvl="2">
      <w:lvlJc w:val="left"/>
      <w:lvlText w:val="-"/>
      <w:numFmt w:val="bullet"/>
      <w:start w:val="1"/>
    </w:lvl>
  </w:abstractNum>
  <w:abstractNum w:abstractNumId="129">
    <w:nsid w:val="61E74EA3"/>
    <w:multiLevelType w:val="hybridMultilevel"/>
    <w:lvl w:ilvl="0">
      <w:lvlJc w:val="left"/>
      <w:lvlText w:val="%1."/>
      <w:numFmt w:val="decimal"/>
      <w:start w:val="38"/>
    </w:lvl>
    <w:lvl w:ilvl="1">
      <w:lvlJc w:val="left"/>
      <w:lvlText w:val="(%2)"/>
      <w:numFmt w:val="lowerLetter"/>
      <w:start w:val="1"/>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130">
    <w:nsid w:val="597B4D84"/>
    <w:multiLevelType w:val="hybridMultilevel"/>
    <w:lvl w:ilvl="0">
      <w:lvlJc w:val="left"/>
      <w:lvlText w:val="(%1)"/>
      <w:numFmt w:val="lowerLetter"/>
      <w:start w:val="3"/>
    </w:lvl>
    <w:lvl w:ilvl="1">
      <w:lvlJc w:val="left"/>
      <w:lvlText w:val="-"/>
      <w:numFmt w:val="bullet"/>
      <w:start w:val="1"/>
    </w:lvl>
  </w:abstractNum>
  <w:abstractNum w:abstractNumId="131">
    <w:nsid w:val="F819E7F"/>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32">
    <w:nsid w:val="57C7D42D"/>
    <w:multiLevelType w:val="hybridMultilevel"/>
    <w:lvl w:ilvl="0">
      <w:lvlJc w:val="left"/>
      <w:lvlText w:val="%1."/>
      <w:numFmt w:val="decimal"/>
      <w:start w:val="41"/>
    </w:lvl>
    <w:lvl w:ilvl="1">
      <w:lvlJc w:val="left"/>
      <w:lvlText w:val="(%2)"/>
      <w:numFmt w:val="lowerLetter"/>
      <w:start w:val="1"/>
    </w:lvl>
    <w:lvl w:ilvl="2">
      <w:lvlJc w:val="left"/>
      <w:lvlText w:val="-"/>
      <w:numFmt w:val="bullet"/>
      <w:start w:val="1"/>
    </w:lvl>
  </w:abstractNum>
  <w:abstractNum w:abstractNumId="133">
    <w:nsid w:val="312167AD"/>
    <w:multiLevelType w:val="hybridMultilevel"/>
    <w:lvl w:ilvl="0">
      <w:lvlJc w:val="left"/>
      <w:lvlText w:val="%1"/>
      <w:numFmt w:val="decimal"/>
      <w:start w:val="1"/>
    </w:lvl>
    <w:lvl w:ilvl="1">
      <w:lvlJc w:val="left"/>
      <w:lvlText w:val="(%2)"/>
      <w:numFmt w:val="lowerLetter"/>
      <w:start w:val="2"/>
    </w:lvl>
  </w:abstractNum>
  <w:abstractNum w:abstractNumId="134">
    <w:nsid w:val="631B64D4"/>
    <w:multiLevelType w:val="hybridMultilevel"/>
    <w:lvl w:ilvl="0">
      <w:lvlJc w:val="left"/>
      <w:lvlText w:val="%1."/>
      <w:numFmt w:val="decimal"/>
      <w:start w:val="44"/>
    </w:lvl>
    <w:lvl w:ilvl="1">
      <w:lvlJc w:val="left"/>
      <w:lvlText w:val="(%2)"/>
      <w:numFmt w:val="lowerLetter"/>
      <w:start w:val="1"/>
    </w:lvl>
  </w:abstractNum>
  <w:abstractNum w:abstractNumId="135">
    <w:nsid w:val="78B5E776"/>
    <w:multiLevelType w:val="hybridMultilevel"/>
    <w:lvl w:ilvl="0">
      <w:lvlJc w:val="left"/>
      <w:lvlText w:val="%1."/>
      <w:numFmt w:val="decimal"/>
      <w:start w:val="45"/>
    </w:lvl>
    <w:lvl w:ilvl="1">
      <w:lvlJc w:val="left"/>
      <w:lvlText w:val="(%2)"/>
      <w:numFmt w:val="lowerLetter"/>
      <w:start w:val="1"/>
    </w:lvl>
    <w:lvl w:ilvl="2">
      <w:lvlJc w:val="left"/>
      <w:lvlText w:val="-"/>
      <w:numFmt w:val="bullet"/>
      <w:start w:val="1"/>
    </w:lvl>
  </w:abstractNum>
  <w:abstractNum w:abstractNumId="136">
    <w:nsid w:val="75486E47"/>
    <w:multiLevelType w:val="hybridMultilevel"/>
    <w:lvl w:ilvl="0">
      <w:lvlJc w:val="left"/>
      <w:lvlText w:val="%1."/>
      <w:numFmt w:val="decimal"/>
      <w:start w:val="46"/>
    </w:lvl>
  </w:abstractNum>
  <w:abstractNum w:abstractNumId="137">
    <w:nsid w:val="6E534CDE"/>
    <w:multiLevelType w:val="hybridMultilevel"/>
    <w:lvl w:ilvl="0">
      <w:lvlJc w:val="left"/>
      <w:lvlText w:val="%1."/>
      <w:numFmt w:val="decimal"/>
      <w:start w:val="49"/>
    </w:lvl>
  </w:abstractNum>
  <w:abstractNum w:abstractNumId="138">
    <w:nsid w:val="1A0DDE32"/>
    <w:multiLevelType w:val="hybridMultilevel"/>
    <w:lvl w:ilvl="0">
      <w:lvlJc w:val="left"/>
      <w:lvlText w:val="%1."/>
      <w:numFmt w:val="decimal"/>
      <w:start w:val="50"/>
    </w:lvl>
  </w:abstractNum>
  <w:abstractNum w:abstractNumId="139">
    <w:nsid w:val="65968C1C"/>
    <w:multiLevelType w:val="hybridMultilevel"/>
    <w:lvl w:ilvl="0">
      <w:lvlJc w:val="left"/>
      <w:lvlText w:val="%1."/>
      <w:numFmt w:val="decimal"/>
      <w:start w:val="51"/>
    </w:lvl>
  </w:abstractNum>
  <w:abstractNum w:abstractNumId="140">
    <w:nsid w:val="46263DEC"/>
    <w:multiLevelType w:val="hybridMultilevel"/>
    <w:lvl w:ilvl="0">
      <w:lvlJc w:val="left"/>
      <w:lvlText w:val="%1."/>
      <w:numFmt w:val="decimal"/>
      <w:start w:val="53"/>
    </w:lvl>
    <w:lvl w:ilvl="1">
      <w:lvlJc w:val="left"/>
      <w:lvlText w:val="(%2)"/>
      <w:numFmt w:val="lowerLetter"/>
      <w:start w:val="1"/>
    </w:lvl>
    <w:lvl w:ilvl="2">
      <w:lvlJc w:val="left"/>
      <w:lvlText w:val="-"/>
      <w:numFmt w:val="bullet"/>
      <w:start w:val="1"/>
    </w:lvl>
  </w:abstractNum>
  <w:abstractNum w:abstractNumId="141">
    <w:nsid w:val="260D8C4A"/>
    <w:multiLevelType w:val="hybridMultilevel"/>
    <w:lvl w:ilvl="0">
      <w:lvlJc w:val="left"/>
      <w:lvlText w:val="%1."/>
      <w:numFmt w:val="decimal"/>
      <w:start w:val="58"/>
    </w:lvl>
  </w:abstractNum>
  <w:abstractNum w:abstractNumId="142">
    <w:nsid w:val="73D4D3C4"/>
    <w:multiLevelType w:val="hybridMultilevel"/>
    <w:lvl w:ilvl="0">
      <w:lvlJc w:val="left"/>
      <w:lvlText w:val="%1."/>
      <w:numFmt w:val="decimal"/>
      <w:start w:val="60"/>
    </w:lvl>
  </w:abstractNum>
  <w:abstractNum w:abstractNumId="143">
    <w:nsid w:val="746F2E30"/>
    <w:multiLevelType w:val="hybridMultilevel"/>
    <w:lvl w:ilvl="0">
      <w:lvlJc w:val="left"/>
      <w:lvlText w:val="%1."/>
      <w:numFmt w:val="decimal"/>
      <w:start w:val="63"/>
    </w:lvl>
  </w:abstractNum>
  <w:abstractNum w:abstractNumId="144">
    <w:nsid w:val="6FDE8AF6"/>
    <w:multiLevelType w:val="hybridMultilevel"/>
    <w:lvl w:ilvl="0">
      <w:lvlJc w:val="left"/>
      <w:lvlText w:val="%1."/>
      <w:numFmt w:val="decimal"/>
      <w:start w:val="6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45">
    <w:nsid w:val="3FC32E2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46">
    <w:nsid w:val="49C0E823"/>
    <w:multiLevelType w:val="hybridMultilevel"/>
    <w:lvl w:ilvl="0">
      <w:lvlJc w:val="left"/>
      <w:lvlText w:val="%1."/>
      <w:numFmt w:val="decimal"/>
      <w:start w:val="6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47">
    <w:nsid w:val="14D53685"/>
    <w:multiLevelType w:val="hybridMultilevel"/>
    <w:lvl w:ilvl="0">
      <w:lvlJc w:val="left"/>
      <w:lvlText w:val="%1."/>
      <w:numFmt w:val="decimal"/>
      <w:start w:val="68"/>
    </w:lvl>
  </w:abstractNum>
  <w:abstractNum w:abstractNumId="148">
    <w:nsid w:val="230F856C"/>
    <w:multiLevelType w:val="hybridMultilevel"/>
    <w:lvl w:ilvl="0">
      <w:lvlJc w:val="left"/>
      <w:lvlText w:val="%1."/>
      <w:numFmt w:val="decimal"/>
      <w:start w:val="69"/>
    </w:lvl>
    <w:lvl w:ilvl="1">
      <w:lvlJc w:val="left"/>
      <w:lvlText w:val="(%2)"/>
      <w:numFmt w:val="lowerLetter"/>
      <w:start w:val="1"/>
    </w:lvl>
    <w:lvl w:ilvl="2">
      <w:lvlJc w:val="left"/>
      <w:lvlText w:val="-"/>
      <w:numFmt w:val="bullet"/>
      <w:start w:val="1"/>
    </w:lvl>
  </w:abstractNum>
  <w:abstractNum w:abstractNumId="149">
    <w:nsid w:val="6EAA85FB"/>
    <w:multiLevelType w:val="hybridMultilevel"/>
    <w:lvl w:ilvl="0">
      <w:lvlJc w:val="left"/>
      <w:lvlText w:val="(%1)"/>
      <w:numFmt w:val="lowerLetter"/>
      <w:start w:val="3"/>
    </w:lvl>
    <w:lvl w:ilvl="1">
      <w:lvlJc w:val="left"/>
      <w:lvlText w:val="(%2)"/>
      <w:numFmt w:val="lowerRoman"/>
      <w:start w:val="1"/>
    </w:lvl>
  </w:abstractNum>
  <w:abstractNum w:abstractNumId="150">
    <w:nsid w:val="3F06ECB2"/>
    <w:multiLevelType w:val="hybridMultilevel"/>
    <w:lvl w:ilvl="0">
      <w:lvlJc w:val="left"/>
      <w:lvlText w:val="%1."/>
      <w:numFmt w:val="decimal"/>
      <w:start w:val="70"/>
    </w:lvl>
    <w:lvl w:ilvl="1">
      <w:lvlJc w:val="left"/>
      <w:lvlText w:val="-"/>
      <w:numFmt w:val="bullet"/>
      <w:start w:val="1"/>
    </w:lvl>
  </w:abstractNum>
  <w:abstractNum w:abstractNumId="151">
    <w:nsid w:val="3B594807"/>
    <w:multiLevelType w:val="hybridMultilevel"/>
    <w:lvl w:ilvl="0">
      <w:lvlJc w:val="left"/>
      <w:lvlText w:val="%1."/>
      <w:numFmt w:val="decimal"/>
      <w:start w:val="71"/>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52">
    <w:nsid w:val="6CAA2304"/>
    <w:multiLevelType w:val="hybridMultilevel"/>
    <w:lvl w:ilvl="0">
      <w:lvlJc w:val="left"/>
      <w:lvlText w:val="•"/>
      <w:numFmt w:val="bullet"/>
      <w:start w:val="1"/>
    </w:lvl>
  </w:abstractNum>
  <w:abstractNum w:abstractNumId="153">
    <w:nsid w:val="3F7C2FF4"/>
    <w:multiLevelType w:val="hybridMultilevel"/>
    <w:lvl w:ilvl="0">
      <w:lvlJc w:val="left"/>
      <w:lvlText w:val="•"/>
      <w:numFmt w:val="bullet"/>
      <w:start w:val="1"/>
    </w:lvl>
  </w:abstractNum>
  <w:abstractNum w:abstractNumId="154">
    <w:nsid w:val="25413BEC"/>
    <w:multiLevelType w:val="hybridMultilevel"/>
    <w:lvl w:ilvl="0">
      <w:lvlJc w:val="left"/>
      <w:lvlText w:val="•"/>
      <w:numFmt w:val="bullet"/>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77" Type="http://schemas.openxmlformats.org/officeDocument/2006/relationships/hyperlink" Target="https://www.sec.gov/Archives/edgar/data/0001851112/000162828021015042/riskified424b4.htm" TargetMode="External"/><Relationship Id="rId128" Type="http://schemas.openxmlformats.org/officeDocument/2006/relationships/hyperlink" Target="https://www.sec.gov/Archives/edgar/data/0001851112/000162828021013981/exhibit101-fx1a1.htm" TargetMode="External"/><Relationship Id="rId129" Type="http://schemas.openxmlformats.org/officeDocument/2006/relationships/hyperlink" Target="https://www.sec.gov/Archives/edgar/data/0001851112/000162828021013329/exhibit102-fx1.htm" TargetMode="External"/><Relationship Id="rId130" Type="http://schemas.openxmlformats.org/officeDocument/2006/relationships/hyperlink" Target="https://www.sec.gov/Archives/edgar/data/0001851112/000162828021013329/exhibit103-fx1.htm" TargetMode="External"/><Relationship Id="rId131" Type="http://schemas.openxmlformats.org/officeDocument/2006/relationships/hyperlink" Target="https://www.sec.gov/Archives/edgar/data/0001851112/000162828021013981/exhibit104-fx1a1.htm" TargetMode="External"/><Relationship Id="rId132" Type="http://schemas.openxmlformats.org/officeDocument/2006/relationships/hyperlink" Target="https://www.sec.gov/Archives/edgar/data/0001851112/000162828021013981/exhibit105-fx1a1.htm" TargetMode="External"/><Relationship Id="rId133" Type="http://schemas.openxmlformats.org/officeDocument/2006/relationships/hyperlink" Target="https://www.sec.gov/Archives/edgar/data/0001851112/000162828021013981/exhibit106-fx1a1.htm" TargetMode="External"/><Relationship Id="rId134" Type="http://schemas.openxmlformats.org/officeDocument/2006/relationships/hyperlink" Target="https://www.sec.gov/Archives/edgar/data/0001851112/000162828021013981/exhibit42-fx1a1.htm" TargetMode="External"/><Relationship Id="rId135" Type="http://schemas.openxmlformats.org/officeDocument/2006/relationships/hyperlink" Target="https://www.sec.gov/Archives/edgar/data/0001851112/000162828021013329/exhibit45-fx1.htm" TargetMode="External"/><Relationship Id="rId152" Type="http://schemas.openxmlformats.org/officeDocument/2006/relationships/hyperlink" Target="https://www.sec.gov/Archives/edgar/data/0001851112/000162828021014326/exhibit41-fx1a2.htm" TargetMode="External"/><Relationship Id="rId153" Type="http://schemas.openxmlformats.org/officeDocument/2006/relationships/hyperlink" Target="https://www.sec.gov/Archives/edgar/data/0001851112/000162828021013329/exhibit43-f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2022-02-25T18:20:17Z</dcterms:created>
  <dcterms:modified xsi:type="dcterms:W3CDTF">2022-02-25T18:20:17Z</dcterms:modified>
</cp:coreProperties>
</file>