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898487.xml.htm"/>
      <w:bookmarkStart w:id="1" w:name="kswkform4_17888984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 Eido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RISKIFIED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5TH AVENUE,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RISKIFIED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3"/>
        <w:gridCol w:w="899"/>
        <w:gridCol w:w="771"/>
        <w:gridCol w:w="597"/>
        <w:gridCol w:w="339"/>
        <w:gridCol w:w="998"/>
        <w:gridCol w:w="431"/>
        <w:gridCol w:w="877"/>
        <w:gridCol w:w="1292"/>
        <w:gridCol w:w="968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6.4794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5,302,917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June 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 average price. These Class A Ordinary Shares were sold in multiple transactions at prices ranging from $6.40 to $6.81. The Reporting Person undertakes to provide to the issuer, any security holder of the issuer, or the SEC staff, upon request, full information regarding the number of Class A Ordinary Shares sold at each separate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Class A Ordinary Shares and outstanding restricted stock units (RSUs) held by the Reporting Person. Each RSU represents the right to receive one Class A Ordinary Share upon vesting and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Treichel, as attorney-in-fact for Eido Gal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07735" TargetMode="External"/><Relationship Id="rId5" Type="http://schemas.openxmlformats.org/officeDocument/2006/relationships/hyperlink" Target="http://www.sec.gov/cgi-bin/browse-edgar?action=getcompany&amp;CIK=00018511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703</Words>
  <Characters>3767</Characters>
  <CharactersWithSpaces>4398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