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167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16724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Shachar Erez</w:t>
              </w:r>
            </w:hyperlink>
          </w:p>
        </w:tc>
        <w:tc>
          <w:tcPr>
            <w:tcW w:w="1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RISKIFIED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RSKD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2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RISKIFIED LTD.</w:t>
            </w:r>
          </w:p>
        </w:tc>
        <w:tc>
          <w:tcPr>
            <w:tcW w:w="1220" w:type="dxa"/>
            <w:vAlign w:val="bottom"/>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220 5TH AVENUE, 2ND FLOOR</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1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3"/>
                <w:szCs w:val="13"/>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1340" w:type="dxa"/>
            <w:vAlign w:val="bottom"/>
            <w:tcBorders>
              <w:top w:val="single" w:sz="8" w:color="2C2C2C"/>
            </w:tcBorders>
            <w:gridSpan w:val="3"/>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vMerge w:val="restart"/>
          </w:tcPr>
          <w:p>
            <w:pPr>
              <w:spacing w:after="0"/>
              <w:rPr>
                <w:sz w:val="7"/>
                <w:szCs w:val="7"/>
                <w:color w:val="auto"/>
              </w:rPr>
            </w:pPr>
          </w:p>
        </w:tc>
        <w:tc>
          <w:tcPr>
            <w:tcW w:w="70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40" w:type="dxa"/>
            <w:vAlign w:val="bottom"/>
            <w:gridSpan w:val="3"/>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Qumra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Capital 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12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06/08/2026</w:t>
            </w:r>
          </w:p>
        </w:tc>
        <w:tc>
          <w:tcPr>
            <w:tcW w:w="40" w:type="dxa"/>
            <w:vAlign w:val="bottom"/>
          </w:tcPr>
          <w:p>
            <w:pPr>
              <w:spacing w:after="0"/>
              <w:rPr>
                <w:sz w:val="18"/>
                <w:szCs w:val="18"/>
                <w:color w:val="auto"/>
              </w:rPr>
            </w:pP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06/08/2026</w:t>
            </w:r>
          </w:p>
        </w:tc>
        <w:tc>
          <w:tcPr>
            <w:tcW w:w="60" w:type="dxa"/>
            <w:vAlign w:val="bottom"/>
          </w:tcPr>
          <w:p>
            <w:pPr>
              <w:spacing w:after="0"/>
              <w:rPr>
                <w:sz w:val="18"/>
                <w:szCs w:val="18"/>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Pr>
          <w:p>
            <w:pPr>
              <w:spacing w:after="0"/>
              <w:rPr>
                <w:sz w:val="18"/>
                <w:szCs w:val="18"/>
                <w:color w:val="auto"/>
              </w:rPr>
            </w:pPr>
          </w:p>
        </w:tc>
        <w:tc>
          <w:tcPr>
            <w:tcW w:w="78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108,150</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4.8729</w:t>
            </w:r>
            <w:r>
              <w:rPr>
                <w:rFonts w:ascii="Times New Roman" w:cs="Times New Roman" w:eastAsia="Times New Roman" w:hAnsi="Times New Roman"/>
                <w:sz w:val="22"/>
                <w:szCs w:val="22"/>
                <w:color w:val="008000"/>
                <w:vertAlign w:val="superscript"/>
              </w:rPr>
              <w:t>(1)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4,519,735</w:t>
            </w:r>
          </w:p>
        </w:tc>
        <w:tc>
          <w:tcPr>
            <w:tcW w:w="520" w:type="dxa"/>
            <w:vAlign w:val="bottom"/>
            <w:vMerge w:val="restart"/>
          </w:tcPr>
          <w:p>
            <w:pPr>
              <w:jc w:val="center"/>
              <w:ind w:left="238"/>
              <w:spacing w:after="0" w:line="387" w:lineRule="exact"/>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(2)</w:t>
            </w: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L.P. and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Qumra</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Capital 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Continuation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Fund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Qumra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Capital 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12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06/09/2026</w:t>
            </w:r>
          </w:p>
        </w:tc>
        <w:tc>
          <w:tcPr>
            <w:tcW w:w="40" w:type="dxa"/>
            <w:vAlign w:val="bottom"/>
          </w:tcPr>
          <w:p>
            <w:pPr>
              <w:spacing w:after="0"/>
              <w:rPr>
                <w:sz w:val="18"/>
                <w:szCs w:val="18"/>
                <w:color w:val="auto"/>
              </w:rPr>
            </w:pP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06/09/2026</w:t>
            </w:r>
          </w:p>
        </w:tc>
        <w:tc>
          <w:tcPr>
            <w:tcW w:w="60" w:type="dxa"/>
            <w:vAlign w:val="bottom"/>
          </w:tcPr>
          <w:p>
            <w:pPr>
              <w:spacing w:after="0"/>
              <w:rPr>
                <w:sz w:val="18"/>
                <w:szCs w:val="18"/>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Pr>
          <w:p>
            <w:pPr>
              <w:spacing w:after="0"/>
              <w:rPr>
                <w:sz w:val="18"/>
                <w:szCs w:val="18"/>
                <w:color w:val="auto"/>
              </w:rPr>
            </w:pPr>
          </w:p>
        </w:tc>
        <w:tc>
          <w:tcPr>
            <w:tcW w:w="78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132,462</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4.905</w:t>
            </w:r>
            <w:r>
              <w:rPr>
                <w:rFonts w:ascii="Times New Roman" w:cs="Times New Roman" w:eastAsia="Times New Roman" w:hAnsi="Times New Roman"/>
                <w:sz w:val="22"/>
                <w:szCs w:val="22"/>
                <w:color w:val="008000"/>
                <w:vertAlign w:val="superscript"/>
              </w:rPr>
              <w:t>(3)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4,387,273</w:t>
            </w:r>
          </w:p>
        </w:tc>
        <w:tc>
          <w:tcPr>
            <w:tcW w:w="520" w:type="dxa"/>
            <w:vAlign w:val="bottom"/>
            <w:vMerge w:val="restart"/>
          </w:tcPr>
          <w:p>
            <w:pPr>
              <w:jc w:val="center"/>
              <w:ind w:left="238"/>
              <w:spacing w:after="0" w:line="387" w:lineRule="exact"/>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(2)</w:t>
            </w: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L.P. and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Qumra</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Capital 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Continuation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Fund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93"/>
              </w:rPr>
              <w:t>80,053</w:t>
            </w:r>
            <w:r>
              <w:rPr>
                <w:rFonts w:ascii="Times New Roman" w:cs="Times New Roman" w:eastAsia="Times New Roman" w:hAnsi="Times New Roman"/>
                <w:sz w:val="22"/>
                <w:szCs w:val="22"/>
                <w:color w:val="008000"/>
                <w:w w:val="93"/>
                <w:vertAlign w:val="superscript"/>
              </w:rPr>
              <w:t>(4)</w:t>
            </w:r>
          </w:p>
        </w:tc>
        <w:tc>
          <w:tcPr>
            <w:tcW w:w="520" w:type="dxa"/>
            <w:vAlign w:val="bottom"/>
            <w:tcBorders>
              <w:bottom w:val="single" w:sz="8" w:color="2C2C2C"/>
            </w:tcBorders>
          </w:tcPr>
          <w:p>
            <w:pPr>
              <w:jc w:val="center"/>
              <w:ind w:left="238"/>
              <w:spacing w:after="0"/>
              <w:rPr>
                <w:sz w:val="20"/>
                <w:szCs w:val="20"/>
                <w:color w:val="auto"/>
              </w:rPr>
            </w:pPr>
            <w:r>
              <w:rPr>
                <w:rFonts w:ascii="Times New Roman" w:cs="Times New Roman" w:eastAsia="Times New Roman" w:hAnsi="Times New Roman"/>
                <w:sz w:val="17"/>
                <w:szCs w:val="17"/>
                <w:color w:val="0000FF"/>
              </w:rPr>
              <w:t>D</w:t>
            </w: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5"/>
          </w:tcPr>
          <w:p>
            <w:pPr>
              <w:jc w:val="center"/>
              <w:ind w:left="4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jc w:val="center"/>
              <w:ind w:left="43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5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Class A Ordinary Shares were sold in multiple transactions at prices ranging from $4.85 to $4.93. The Reporting Person undertakes to provide to the issuer, any security holder of the issuer, or the SEC staff, upon request, full information regarding the number of Class A Ordinary Shares sold at each separate price within the range set forth in this footnote.</w:t>
      </w:r>
    </w:p>
    <w:p>
      <w:pPr>
        <w:spacing w:after="0" w:line="171"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Class A Ordinary Shares held by Qumra Capital I L.P. and Qumra Capital I Continuation Fund L.P (together, "Qumra Capital"). The Reporting Person is a Managing Partner of Qumra Capital. The Reporting Person disclaims beneficial ownership of the Class A Ordinary Shares held by Qumra Capital, except to the extent of his pecuniary interest, if any, therein.</w:t>
      </w:r>
    </w:p>
    <w:p>
      <w:pPr>
        <w:spacing w:after="0" w:line="7" w:lineRule="exact"/>
        <w:rPr>
          <w:rFonts w:ascii="Times New Roman" w:cs="Times New Roman" w:eastAsia="Times New Roman" w:hAnsi="Times New Roman"/>
          <w:sz w:val="13"/>
          <w:szCs w:val="13"/>
          <w:color w:val="008000"/>
        </w:rPr>
      </w:pPr>
    </w:p>
    <w:p>
      <w:pPr>
        <w:ind w:left="40" w:right="28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Class A Ordinary Shares were sold in multiple transactions at prices ranging from $4.81 to $4.97. The Reporting Person undertakes to provide to the issuer, any security holder of the issuer, or the SEC staff, upon request, full information regarding the number of Class A Ordinary Shares sold at each separate price within the range set forth in this footnote.</w:t>
      </w:r>
    </w:p>
    <w:p>
      <w:pPr>
        <w:spacing w:after="0" w:line="171" w:lineRule="exact"/>
        <w:rPr>
          <w:rFonts w:ascii="Times New Roman" w:cs="Times New Roman" w:eastAsia="Times New Roman" w:hAnsi="Times New Roman"/>
          <w:sz w:val="13"/>
          <w:szCs w:val="13"/>
          <w:color w:val="008000"/>
        </w:rPr>
      </w:pPr>
    </w:p>
    <w:p>
      <w:pPr>
        <w:jc w:val="both"/>
        <w:ind w:left="40" w:right="3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Class A Ordinary Shares and outstanding restricted stock units (RSUs) held by the Reporting Person. Each RSU represents the right to receive one Class A Ordinary shares upon vesting and settlement. The Reporting Person is a Managing Partner of Qumra Capital. The Class A Shares and RSUs held by the Reporting Person are held by him solely for the benefit of Qumra Capital. As such, the Reporting Person disclaims beneficial ownership of the RSUs (including the Class A Ordinary Shares underlying the RSUs) and the Class A Ordinary Shares, except to the extent of his pecuniary interest, if any, therein.</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Eric Treichel,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5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57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Erez Shachar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3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60" w:space="18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01099" TargetMode="External"/><Relationship Id="rId14" Type="http://schemas.openxmlformats.org/officeDocument/2006/relationships/hyperlink" Target="http://www.sec.gov/cgi-bin/browse-edgar?action=getcompany&amp;CIK=00018511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2026-06-10T15:31:30Z</dcterms:created>
  <dcterms:modified xsi:type="dcterms:W3CDTF">2026-06-10T15:31:30Z</dcterms:modified>
</cp:coreProperties>
</file>